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2B3B88B"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2C02B7" w:rsidRPr="002C02B7">
        <w:rPr>
          <w:bCs/>
          <w:noProof w:val="0"/>
          <w:sz w:val="24"/>
          <w:szCs w:val="24"/>
        </w:rPr>
        <w:t>R2-1900627</w:t>
      </w:r>
    </w:p>
    <w:p w14:paraId="231362B2" w14:textId="467B02EC"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00BBDC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E6EFD">
        <w:rPr>
          <w:rFonts w:cs="Arial"/>
          <w:b/>
          <w:bCs/>
          <w:sz w:val="24"/>
          <w:lang w:eastAsia="ja-JP"/>
        </w:rPr>
        <w:t>11</w:t>
      </w:r>
      <w:r w:rsidR="002747EC">
        <w:rPr>
          <w:rFonts w:cs="Arial"/>
          <w:b/>
          <w:bCs/>
          <w:sz w:val="24"/>
          <w:lang w:eastAsia="ja-JP"/>
        </w:rPr>
        <w:t>.</w:t>
      </w:r>
      <w:r w:rsidR="00CE6EFD">
        <w:rPr>
          <w:rFonts w:cs="Arial"/>
          <w:b/>
          <w:bCs/>
          <w:sz w:val="24"/>
          <w:lang w:eastAsia="ja-JP"/>
        </w:rPr>
        <w:t>1</w:t>
      </w:r>
      <w:r w:rsidR="002747EC">
        <w:rPr>
          <w:rFonts w:cs="Arial"/>
          <w:b/>
          <w:bCs/>
          <w:sz w:val="24"/>
          <w:lang w:eastAsia="ja-JP"/>
        </w:rPr>
        <w:t>.</w:t>
      </w:r>
      <w:r w:rsidR="00CE6EFD">
        <w:rPr>
          <w:rFonts w:cs="Arial"/>
          <w:b/>
          <w:bCs/>
          <w:sz w:val="24"/>
          <w:lang w:eastAsia="ja-JP"/>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FC7E16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15E69">
        <w:rPr>
          <w:rFonts w:ascii="Arial" w:hAnsi="Arial" w:cs="Arial"/>
          <w:b/>
          <w:bCs/>
          <w:sz w:val="24"/>
        </w:rPr>
        <w:t>Ba</w:t>
      </w:r>
      <w:r w:rsidR="00BF7FD5">
        <w:rPr>
          <w:rFonts w:ascii="Arial" w:hAnsi="Arial" w:cs="Arial"/>
          <w:b/>
          <w:bCs/>
          <w:sz w:val="24"/>
        </w:rPr>
        <w:t>ckhaul link RLF handling</w:t>
      </w:r>
    </w:p>
    <w:p w14:paraId="3AC3A0B1" w14:textId="1B82880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62FFB" w:rsidRPr="00362FFB">
        <w:rPr>
          <w:rFonts w:ascii="Arial" w:hAnsi="Arial" w:cs="Arial"/>
          <w:b/>
          <w:bCs/>
          <w:sz w:val="24"/>
        </w:rPr>
        <w:t>NR_IAB-Core</w:t>
      </w:r>
      <w:r w:rsidR="00362FFB">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362FFB">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382DD0A" w14:textId="77777777" w:rsidR="009D064C" w:rsidRPr="006E13D1" w:rsidRDefault="009D064C" w:rsidP="009D064C">
      <w:pPr>
        <w:pStyle w:val="Heading1"/>
      </w:pPr>
      <w:r w:rsidRPr="006E13D1">
        <w:t>1</w:t>
      </w:r>
      <w:r w:rsidRPr="006E13D1">
        <w:tab/>
      </w:r>
      <w:r>
        <w:t>Introduction</w:t>
      </w:r>
    </w:p>
    <w:p w14:paraId="3AFC0C2F" w14:textId="77777777" w:rsidR="009329C2" w:rsidRDefault="007840B0" w:rsidP="009D064C">
      <w:r>
        <w:t xml:space="preserve">IAB WID in [1] captures the following </w:t>
      </w:r>
      <w:r w:rsidR="009329C2">
        <w:t>objectives related to specification of RLF handling in IAB based networks:</w:t>
      </w:r>
    </w:p>
    <w:tbl>
      <w:tblPr>
        <w:tblStyle w:val="TableGrid"/>
        <w:tblW w:w="0" w:type="auto"/>
        <w:tblLook w:val="04A0" w:firstRow="1" w:lastRow="0" w:firstColumn="1" w:lastColumn="0" w:noHBand="0" w:noVBand="1"/>
      </w:tblPr>
      <w:tblGrid>
        <w:gridCol w:w="9631"/>
      </w:tblGrid>
      <w:tr w:rsidR="009329C2" w14:paraId="6917713C" w14:textId="77777777" w:rsidTr="009329C2">
        <w:tc>
          <w:tcPr>
            <w:tcW w:w="9631" w:type="dxa"/>
          </w:tcPr>
          <w:p w14:paraId="75E3DEB1" w14:textId="77777777" w:rsidR="009329C2" w:rsidRDefault="009329C2" w:rsidP="009329C2">
            <w:pPr>
              <w:pStyle w:val="maintext"/>
              <w:numPr>
                <w:ilvl w:val="0"/>
                <w:numId w:val="9"/>
              </w:numPr>
              <w:spacing w:line="240" w:lineRule="auto"/>
              <w:ind w:firstLineChars="0"/>
              <w:jc w:val="left"/>
              <w:rPr>
                <w:rFonts w:eastAsia="Times New Roman" w:cs="Times New Roman"/>
                <w:lang w:eastAsia="en-US"/>
              </w:rPr>
            </w:pPr>
            <w:bookmarkStart w:id="0" w:name="_Hlk531191940"/>
            <w:r>
              <w:rPr>
                <w:rFonts w:eastAsia="Times New Roman" w:cs="Times New Roman"/>
                <w:lang w:eastAsia="en-US"/>
              </w:rPr>
              <w:t>Specification of an IAB-node following architecture 1a including [RAN2-led, RAN3]</w:t>
            </w:r>
            <w:bookmarkEnd w:id="0"/>
            <w:r>
              <w:rPr>
                <w:rFonts w:eastAsia="Times New Roman" w:cs="Times New Roman"/>
                <w:lang w:eastAsia="en-US"/>
              </w:rPr>
              <w:t xml:space="preserve">: </w:t>
            </w:r>
          </w:p>
          <w:p w14:paraId="41E32D54" w14:textId="1398D243" w:rsidR="009329C2" w:rsidRDefault="009329C2" w:rsidP="009329C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w:t>
            </w:r>
          </w:p>
          <w:p w14:paraId="5D7EEB58" w14:textId="69353B99" w:rsidR="009329C2" w:rsidRPr="009329C2" w:rsidRDefault="009329C2" w:rsidP="009329C2">
            <w:pPr>
              <w:pStyle w:val="maintext"/>
              <w:numPr>
                <w:ilvl w:val="1"/>
                <w:numId w:val="9"/>
              </w:numPr>
              <w:spacing w:line="240" w:lineRule="auto"/>
              <w:ind w:firstLineChars="0"/>
              <w:jc w:val="left"/>
              <w:rPr>
                <w:rFonts w:eastAsia="Times New Roman" w:cs="Times New Roman"/>
                <w:lang w:eastAsia="en-US"/>
              </w:rPr>
            </w:pPr>
            <w:r w:rsidRPr="009329C2">
              <w:rPr>
                <w:rFonts w:eastAsia="Times New Roman" w:cs="Times New Roman"/>
                <w:highlight w:val="yellow"/>
                <w:lang w:eastAsia="en-US"/>
              </w:rPr>
              <w:t>Hop-by-hop propagation of signalling to support low latency scheduling (e.g. TR 38.874 clause 8.6), BH RLF handling (e.g. TR 38.874 clause 9.7.14-15) and resource coordination across the multi-hop topology (e.g. TR 38.874 clause 7.3.3).</w:t>
            </w:r>
            <w:r>
              <w:rPr>
                <w:rFonts w:eastAsia="Times New Roman" w:cs="Times New Roman"/>
                <w:lang w:eastAsia="en-US"/>
              </w:rPr>
              <w:t xml:space="preserve"> </w:t>
            </w:r>
          </w:p>
        </w:tc>
      </w:tr>
    </w:tbl>
    <w:p w14:paraId="3E50BF30" w14:textId="4CC8E15E" w:rsidR="009329C2" w:rsidRDefault="009329C2" w:rsidP="009D064C"/>
    <w:tbl>
      <w:tblPr>
        <w:tblStyle w:val="TableGrid"/>
        <w:tblW w:w="0" w:type="auto"/>
        <w:tblLook w:val="04A0" w:firstRow="1" w:lastRow="0" w:firstColumn="1" w:lastColumn="0" w:noHBand="0" w:noVBand="1"/>
      </w:tblPr>
      <w:tblGrid>
        <w:gridCol w:w="9631"/>
      </w:tblGrid>
      <w:tr w:rsidR="009329C2" w14:paraId="4DCD9301" w14:textId="77777777" w:rsidTr="009329C2">
        <w:tc>
          <w:tcPr>
            <w:tcW w:w="9631" w:type="dxa"/>
          </w:tcPr>
          <w:p w14:paraId="6ED1F746" w14:textId="77777777" w:rsidR="009329C2" w:rsidRDefault="009329C2" w:rsidP="009329C2">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Specification of procedures for IAB-node integration and topology adaptation, including [RAN3-led, RAN2]:</w:t>
            </w:r>
          </w:p>
          <w:p w14:paraId="7B54F4C9" w14:textId="62910629" w:rsidR="009329C2" w:rsidRDefault="009329C2" w:rsidP="009329C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w:t>
            </w:r>
          </w:p>
          <w:p w14:paraId="7F03BF44" w14:textId="5D0747A9" w:rsidR="009329C2" w:rsidRPr="009329C2" w:rsidRDefault="009329C2" w:rsidP="009329C2">
            <w:pPr>
              <w:pStyle w:val="maintext"/>
              <w:numPr>
                <w:ilvl w:val="1"/>
                <w:numId w:val="9"/>
              </w:numPr>
              <w:spacing w:line="240" w:lineRule="auto"/>
              <w:ind w:firstLineChars="0"/>
              <w:jc w:val="left"/>
              <w:rPr>
                <w:rFonts w:eastAsia="Times New Roman" w:cs="Times New Roman"/>
                <w:lang w:eastAsia="en-US"/>
              </w:rPr>
            </w:pPr>
            <w:r w:rsidRPr="009329C2">
              <w:rPr>
                <w:rFonts w:eastAsia="Times New Roman" w:cs="Times New Roman"/>
                <w:highlight w:val="yellow"/>
                <w:lang w:eastAsia="en-US"/>
              </w:rPr>
              <w:t>Specification of IAB-node migration underneath the same IAB-donor (with or without a change of IAB-donor DU), and between different IAB-donors.</w:t>
            </w:r>
            <w:r w:rsidRPr="009329C2" w:rsidDel="00860979">
              <w:rPr>
                <w:rFonts w:eastAsia="Times New Roman" w:cs="Times New Roman"/>
                <w:highlight w:val="yellow"/>
                <w:lang w:eastAsia="en-US"/>
              </w:rPr>
              <w:t xml:space="preserve"> </w:t>
            </w:r>
            <w:r w:rsidRPr="009329C2">
              <w:rPr>
                <w:rFonts w:eastAsia="Times New Roman" w:cs="Times New Roman"/>
                <w:highlight w:val="yellow"/>
                <w:lang w:eastAsia="en-US"/>
              </w:rPr>
              <w:t>Migration of IAB-node could be network-controlled or could be due to BH RLF.</w:t>
            </w:r>
            <w:r w:rsidDel="00D83C0E">
              <w:rPr>
                <w:rFonts w:eastAsia="Times New Roman" w:cs="Times New Roman"/>
                <w:lang w:eastAsia="en-US"/>
              </w:rPr>
              <w:t xml:space="preserve"> </w:t>
            </w:r>
          </w:p>
        </w:tc>
      </w:tr>
    </w:tbl>
    <w:p w14:paraId="517AAE1C" w14:textId="77777777" w:rsidR="009329C2" w:rsidRDefault="009329C2" w:rsidP="009D064C"/>
    <w:tbl>
      <w:tblPr>
        <w:tblStyle w:val="TableGrid"/>
        <w:tblW w:w="0" w:type="auto"/>
        <w:tblLook w:val="04A0" w:firstRow="1" w:lastRow="0" w:firstColumn="1" w:lastColumn="0" w:noHBand="0" w:noVBand="1"/>
      </w:tblPr>
      <w:tblGrid>
        <w:gridCol w:w="9631"/>
      </w:tblGrid>
      <w:tr w:rsidR="009329C2" w14:paraId="43670A36" w14:textId="77777777" w:rsidTr="009329C2">
        <w:tc>
          <w:tcPr>
            <w:tcW w:w="9631" w:type="dxa"/>
          </w:tcPr>
          <w:p w14:paraId="62FF9062" w14:textId="77777777" w:rsidR="009329C2" w:rsidRDefault="009329C2" w:rsidP="009329C2">
            <w:pPr>
              <w:pStyle w:val="maintext"/>
              <w:numPr>
                <w:ilvl w:val="0"/>
                <w:numId w:val="9"/>
              </w:numPr>
              <w:spacing w:line="240" w:lineRule="auto"/>
              <w:ind w:firstLineChars="0"/>
              <w:jc w:val="left"/>
              <w:rPr>
                <w:rFonts w:eastAsia="Times New Roman" w:cs="Times New Roman"/>
                <w:lang w:eastAsia="en-US"/>
              </w:rPr>
            </w:pPr>
            <w:bookmarkStart w:id="1" w:name="_Hlk530593150"/>
            <w:r>
              <w:rPr>
                <w:rFonts w:eastAsia="Times New Roman" w:cs="Times New Roman"/>
                <w:lang w:eastAsia="en-US"/>
              </w:rPr>
              <w:t>Specification of signalling for L2 transport and resource management</w:t>
            </w:r>
            <w:bookmarkEnd w:id="1"/>
            <w:r>
              <w:rPr>
                <w:rFonts w:eastAsia="Times New Roman" w:cs="Times New Roman"/>
                <w:lang w:eastAsia="en-US"/>
              </w:rPr>
              <w:t xml:space="preserve"> [RAN2-led, RAN3, RAN1]:</w:t>
            </w:r>
          </w:p>
          <w:p w14:paraId="71CE4CF5" w14:textId="3057D7D5" w:rsidR="009329C2" w:rsidRDefault="009329C2" w:rsidP="009D064C">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w:t>
            </w:r>
          </w:p>
          <w:p w14:paraId="21B54D66" w14:textId="400DF073" w:rsidR="009329C2" w:rsidRPr="009329C2" w:rsidRDefault="009329C2" w:rsidP="009D064C">
            <w:pPr>
              <w:pStyle w:val="maintext"/>
              <w:numPr>
                <w:ilvl w:val="1"/>
                <w:numId w:val="9"/>
              </w:numPr>
              <w:spacing w:line="240" w:lineRule="auto"/>
              <w:ind w:firstLineChars="0"/>
              <w:jc w:val="left"/>
              <w:rPr>
                <w:rFonts w:eastAsia="Times New Roman" w:cs="Times New Roman"/>
                <w:lang w:eastAsia="en-US"/>
              </w:rPr>
            </w:pPr>
            <w:r w:rsidRPr="009329C2">
              <w:rPr>
                <w:rFonts w:eastAsia="Times New Roman" w:cs="Times New Roman"/>
                <w:highlight w:val="yellow"/>
                <w:lang w:eastAsia="en-US"/>
              </w:rPr>
              <w:t xml:space="preserve">Specification of BH RLF handling (e.g. </w:t>
            </w:r>
            <w:bookmarkStart w:id="2" w:name="_Hlk531256143"/>
            <w:r w:rsidRPr="009329C2">
              <w:rPr>
                <w:rFonts w:eastAsia="Times New Roman" w:cs="Times New Roman"/>
                <w:highlight w:val="yellow"/>
                <w:lang w:eastAsia="en-US"/>
              </w:rPr>
              <w:t>downstream BH RLF notification</w:t>
            </w:r>
            <w:bookmarkEnd w:id="2"/>
            <w:r w:rsidRPr="009329C2">
              <w:rPr>
                <w:rFonts w:eastAsia="Times New Roman" w:cs="Times New Roman"/>
                <w:highlight w:val="yellow"/>
                <w:lang w:eastAsia="en-US"/>
              </w:rPr>
              <w:t>).</w:t>
            </w:r>
          </w:p>
        </w:tc>
      </w:tr>
    </w:tbl>
    <w:p w14:paraId="0BCC8014" w14:textId="68C71A19" w:rsidR="009329C2" w:rsidRDefault="009329C2" w:rsidP="009D064C"/>
    <w:p w14:paraId="39410F0B" w14:textId="5B803D64" w:rsidR="009329C2" w:rsidRDefault="009329C2" w:rsidP="009D064C">
      <w:r>
        <w:t xml:space="preserve">According to the above, there are two main </w:t>
      </w:r>
      <w:r>
        <w:t xml:space="preserve">aspects related to backhaul link RLF handling, i.e. how to signal RLF occurrence to other IAB nodes which may be affected and how to ensure that an alternate route is available for backhauling the traffic as soon as possible. Additionally, different solutions and behaviours may apply depending on whether the IAB node experiencing an RLF </w:t>
      </w:r>
      <w:r w:rsidR="00824718">
        <w:t xml:space="preserve">while being single connected or </w:t>
      </w:r>
      <w:r>
        <w:t xml:space="preserve">dual-connected. This contribution focuses on RAN2 aspects of those two scenarios and identifies potential specification </w:t>
      </w:r>
      <w:r w:rsidR="00086A82">
        <w:t>gaps, which would have to be filled in order to ensure robustness in IAB network deployments.</w:t>
      </w:r>
    </w:p>
    <w:p w14:paraId="69D31FCD" w14:textId="07A3FFC8" w:rsidR="00086A82" w:rsidRPr="00086A82" w:rsidRDefault="00086A82" w:rsidP="00086A82">
      <w:pPr>
        <w:pStyle w:val="Heading1"/>
      </w:pPr>
      <w:r w:rsidRPr="00086A82">
        <w:t>2</w:t>
      </w:r>
      <w:r w:rsidRPr="00086A82">
        <w:tab/>
        <w:t>RLF in dual-connected IAB node</w:t>
      </w:r>
    </w:p>
    <w:p w14:paraId="6377DD2D" w14:textId="6EE6FB34" w:rsidR="00086A82" w:rsidRDefault="0037770A" w:rsidP="00086A82">
      <w:r w:rsidRPr="0037770A">
        <w:t>The procedur</w:t>
      </w:r>
      <w:r>
        <w:t>e</w:t>
      </w:r>
      <w:r w:rsidRPr="0037770A">
        <w:t xml:space="preserve"> for this scenario is </w:t>
      </w:r>
      <w:r>
        <w:t>described in [2] and the following figure (also from [2]) summarizes it:</w:t>
      </w:r>
    </w:p>
    <w:bookmarkStart w:id="3" w:name="_Hlk525040683"/>
    <w:p w14:paraId="0E7F7951" w14:textId="77777777" w:rsidR="0037770A" w:rsidRPr="0037770A" w:rsidRDefault="0037770A" w:rsidP="0037770A">
      <w:pPr>
        <w:keepNext/>
        <w:keepLines/>
        <w:overflowPunct w:val="0"/>
        <w:autoSpaceDE w:val="0"/>
        <w:autoSpaceDN w:val="0"/>
        <w:adjustRightInd w:val="0"/>
        <w:spacing w:before="60"/>
        <w:jc w:val="center"/>
        <w:textAlignment w:val="baseline"/>
        <w:rPr>
          <w:rFonts w:ascii="Arial" w:hAnsi="Arial"/>
          <w:b/>
          <w:lang w:eastAsia="ja-JP"/>
        </w:rPr>
      </w:pPr>
      <w:r w:rsidRPr="0037770A">
        <w:rPr>
          <w:rFonts w:ascii="Arial" w:hAnsi="Arial"/>
          <w:b/>
          <w:lang w:eastAsia="ja-JP"/>
        </w:rPr>
        <w:object w:dxaOrig="14843" w:dyaOrig="8810" w14:anchorId="17E02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75pt;height:253.55pt" o:ole="">
            <v:imagedata r:id="rId12" o:title=""/>
          </v:shape>
          <o:OLEObject Type="Embed" ProgID="Visio.Drawing.11" ShapeID="_x0000_i1025" DrawAspect="Content" ObjectID="_1611689927" r:id="rId13"/>
        </w:object>
      </w:r>
      <w:bookmarkEnd w:id="3"/>
    </w:p>
    <w:p w14:paraId="4B5DDE55" w14:textId="77777777" w:rsidR="0037770A" w:rsidRPr="0037770A" w:rsidRDefault="0037770A" w:rsidP="0037770A">
      <w:pPr>
        <w:keepLines/>
        <w:overflowPunct w:val="0"/>
        <w:autoSpaceDE w:val="0"/>
        <w:autoSpaceDN w:val="0"/>
        <w:adjustRightInd w:val="0"/>
        <w:spacing w:after="240"/>
        <w:jc w:val="center"/>
        <w:textAlignment w:val="baseline"/>
        <w:rPr>
          <w:rFonts w:ascii="Arial" w:hAnsi="Arial"/>
          <w:b/>
          <w:lang w:eastAsia="x-none"/>
        </w:rPr>
      </w:pPr>
      <w:r w:rsidRPr="0037770A">
        <w:rPr>
          <w:rFonts w:ascii="Arial" w:hAnsi="Arial"/>
          <w:b/>
          <w:lang w:eastAsia="x-none"/>
        </w:rPr>
        <w:t>Figure 9.7.13-1: Scenario 1: BH topology with BH RLF (1a) and after recovery using existing backup link (1b)</w:t>
      </w:r>
    </w:p>
    <w:p w14:paraId="12C01C0A" w14:textId="1BD41B83" w:rsidR="0037770A" w:rsidRDefault="000B27B5" w:rsidP="00086A82">
      <w:r>
        <w:t>As mentioned in the TR, it is assumed in this scenario that an IAB node is taking an advantage of dual-connectivity feature to establish simultaneous connections to two upstream nodes. In consequence, two routes exist between the IAB node and Donor CU. This can be by providing proper adaptation layer and routing configuration from Donor CU to the I</w:t>
      </w:r>
      <w:r w:rsidR="00B5514B">
        <w:t>AB node, which we discuss in our</w:t>
      </w:r>
      <w:r>
        <w:t xml:space="preserve"> paper dedicated to adaptation layer </w:t>
      </w:r>
      <w:r w:rsidR="00B5514B">
        <w:t xml:space="preserve">design </w:t>
      </w:r>
      <w:r>
        <w:t>in [3]</w:t>
      </w:r>
      <w:r w:rsidR="00302919">
        <w:t xml:space="preserve">. </w:t>
      </w:r>
      <w:r w:rsidR="00B5514B">
        <w:t>Further in the procedure</w:t>
      </w:r>
      <w:r w:rsidR="002C6E33">
        <w:t>, the following step is mentioned:</w:t>
      </w:r>
    </w:p>
    <w:tbl>
      <w:tblPr>
        <w:tblStyle w:val="TableGrid"/>
        <w:tblW w:w="0" w:type="auto"/>
        <w:tblLook w:val="04A0" w:firstRow="1" w:lastRow="0" w:firstColumn="1" w:lastColumn="0" w:noHBand="0" w:noVBand="1"/>
      </w:tblPr>
      <w:tblGrid>
        <w:gridCol w:w="9631"/>
      </w:tblGrid>
      <w:tr w:rsidR="002C6E33" w14:paraId="77D684E6" w14:textId="77777777" w:rsidTr="002C6E33">
        <w:tc>
          <w:tcPr>
            <w:tcW w:w="9631" w:type="dxa"/>
          </w:tcPr>
          <w:p w14:paraId="50FF93D0" w14:textId="2D0F5247" w:rsidR="002C6E33" w:rsidRDefault="002C6E33" w:rsidP="00086A82">
            <w:r>
              <w:rPr>
                <w:rFonts w:eastAsia="Malgun Gothic"/>
                <w:lang w:eastAsia="ko-KR"/>
              </w:rPr>
              <w:t xml:space="preserve">2. </w:t>
            </w:r>
            <w:r w:rsidRPr="00E23CFA">
              <w:t>The MT may report MCG RLF over SCG RRC to the CU-CP using NR DC procedures. This step implies that such reporting is supported by NR DC. In case the SCG link is in RRC inactive state the MT will resume the RRC connection on this link.</w:t>
            </w:r>
          </w:p>
        </w:tc>
      </w:tr>
    </w:tbl>
    <w:p w14:paraId="33302411" w14:textId="6C1D7EB7" w:rsidR="002C6E33" w:rsidRDefault="002C6E33" w:rsidP="00086A82"/>
    <w:p w14:paraId="42932B1D" w14:textId="19F8A9A8" w:rsidR="0051548A" w:rsidRDefault="0051548A" w:rsidP="00086A82">
      <w:r>
        <w:t xml:space="preserve">First of all, </w:t>
      </w:r>
      <w:r w:rsidR="00172101">
        <w:t xml:space="preserve">in the described procedure </w:t>
      </w:r>
      <w:r>
        <w:t xml:space="preserve">there seems to be some misconception of how RRC Inactive state works currently as the RRC state is defined for a UE and not per Cell Group. SCells can be deactivated on both MCG and SCG, but PCell (for MCG) and PSCell (for SCG) are always active </w:t>
      </w:r>
      <w:r w:rsidR="00172101">
        <w:t xml:space="preserve">once configured. This does not </w:t>
      </w:r>
      <w:r w:rsidR="00E024C3">
        <w:t xml:space="preserve">have to </w:t>
      </w:r>
      <w:r w:rsidR="00172101">
        <w:t xml:space="preserve">mean that </w:t>
      </w:r>
      <w:r w:rsidR="00E024C3">
        <w:t xml:space="preserve">SCG, once configured, </w:t>
      </w:r>
      <w:r w:rsidR="00172101">
        <w:t xml:space="preserve">is </w:t>
      </w:r>
      <w:r w:rsidR="00E024C3">
        <w:t xml:space="preserve">always </w:t>
      </w:r>
      <w:r w:rsidR="00172101">
        <w:t>used for backhauling the data, because that depends from how routing tables are configured as we discuss in [3]. However, from radio perspective</w:t>
      </w:r>
      <w:r w:rsidR="00E024C3">
        <w:t xml:space="preserve"> (PDCCH monitoring, RLM, RRM measurements etc.)</w:t>
      </w:r>
      <w:r w:rsidR="00172101">
        <w:t xml:space="preserve">, once NR-DC is configured, the SCG path is always active and we do not think there is a reason to change that behaviour for IAB. There are other ways to address non-active secondary path cases, e.g. using conditional handover, as we discuss in section 3 of this paper. </w:t>
      </w:r>
    </w:p>
    <w:p w14:paraId="739151CB" w14:textId="47D02C0E" w:rsidR="00E024C3" w:rsidRDefault="00E024C3" w:rsidP="00086A82">
      <w:pPr>
        <w:rPr>
          <w:b/>
        </w:rPr>
      </w:pPr>
      <w:r>
        <w:rPr>
          <w:b/>
        </w:rPr>
        <w:t>Proposal 1: In IAB scenarios, once SCG is configured for a MT in IAB node, PSCell is always active, i.e. in the same way as currently specified for NR-DC (no specifications changes are needed for this purpose).</w:t>
      </w:r>
    </w:p>
    <w:p w14:paraId="4DAE673F" w14:textId="7DBF7434" w:rsidR="00704972" w:rsidRDefault="0051548A" w:rsidP="009D064C">
      <w:r>
        <w:t>Secondly</w:t>
      </w:r>
      <w:r w:rsidR="002C6E33">
        <w:t xml:space="preserve">, </w:t>
      </w:r>
      <w:r w:rsidR="00E024C3">
        <w:t xml:space="preserve">in the procedure </w:t>
      </w:r>
      <w:r w:rsidR="002C6E33">
        <w:t xml:space="preserve">the assumption is made on the support of MCG RLF reporting via SCG and unfortunately, according to current NR-NR DC behaviour, this is not supported. </w:t>
      </w:r>
      <w:r>
        <w:t xml:space="preserve">The behaviour upon RLF is different for MCG and for SCG and is described in </w:t>
      </w:r>
      <w:r w:rsidR="002C6E33">
        <w:t>[4]</w:t>
      </w:r>
      <w:r>
        <w:t xml:space="preserve"> in the following way:</w:t>
      </w:r>
    </w:p>
    <w:tbl>
      <w:tblPr>
        <w:tblStyle w:val="TableGrid"/>
        <w:tblW w:w="0" w:type="auto"/>
        <w:tblLook w:val="04A0" w:firstRow="1" w:lastRow="0" w:firstColumn="1" w:lastColumn="0" w:noHBand="0" w:noVBand="1"/>
      </w:tblPr>
      <w:tblGrid>
        <w:gridCol w:w="9631"/>
      </w:tblGrid>
      <w:tr w:rsidR="0051548A" w14:paraId="5B2C4911" w14:textId="77777777" w:rsidTr="0051548A">
        <w:tc>
          <w:tcPr>
            <w:tcW w:w="9631" w:type="dxa"/>
          </w:tcPr>
          <w:p w14:paraId="5DDBB809" w14:textId="77777777" w:rsidR="0051548A" w:rsidRPr="00933AAF" w:rsidRDefault="0051548A" w:rsidP="0051548A">
            <w:pPr>
              <w:pStyle w:val="Heading2"/>
            </w:pPr>
            <w:bookmarkStart w:id="4" w:name="_Toc535235055"/>
            <w:r w:rsidRPr="00933AAF">
              <w:t>7.7</w:t>
            </w:r>
            <w:r w:rsidRPr="00933AAF">
              <w:tab/>
              <w:t>SCG/MCG failure handling</w:t>
            </w:r>
            <w:bookmarkEnd w:id="4"/>
          </w:p>
          <w:p w14:paraId="51301107" w14:textId="77777777" w:rsidR="0051548A" w:rsidRPr="00933AAF" w:rsidRDefault="0051548A" w:rsidP="0051548A">
            <w:r w:rsidRPr="00933AAF">
              <w:t>RLF is declared separately for the MCG and for the SCG.</w:t>
            </w:r>
          </w:p>
          <w:p w14:paraId="3C0A18A1" w14:textId="77777777" w:rsidR="0051548A" w:rsidRPr="00933AAF" w:rsidRDefault="0051548A" w:rsidP="0051548A">
            <w:r w:rsidRPr="0051548A">
              <w:rPr>
                <w:highlight w:val="yellow"/>
              </w:rPr>
              <w:t>If radio link failure is detected for MCG, the UE initiates the RRC connection re-establishment procedure.</w:t>
            </w:r>
          </w:p>
          <w:p w14:paraId="6A5F9F38" w14:textId="77777777" w:rsidR="0051548A" w:rsidRPr="00933AAF" w:rsidRDefault="0051548A" w:rsidP="0051548A">
            <w:r>
              <w:t>T</w:t>
            </w:r>
            <w:r w:rsidRPr="00933AAF">
              <w:t>he following SCG failure cases are supported:</w:t>
            </w:r>
          </w:p>
          <w:p w14:paraId="716C132A" w14:textId="77777777" w:rsidR="0051548A" w:rsidRPr="00933AAF" w:rsidRDefault="0051548A" w:rsidP="0051548A">
            <w:pPr>
              <w:pStyle w:val="B1"/>
            </w:pPr>
            <w:r w:rsidRPr="00933AAF">
              <w:t>-</w:t>
            </w:r>
            <w:r w:rsidRPr="00933AAF">
              <w:tab/>
              <w:t>SCG RLF;</w:t>
            </w:r>
          </w:p>
          <w:p w14:paraId="5A281AB5" w14:textId="77777777" w:rsidR="0051548A" w:rsidRPr="00933AAF" w:rsidRDefault="0051548A" w:rsidP="0051548A">
            <w:pPr>
              <w:pStyle w:val="B1"/>
            </w:pPr>
            <w:r w:rsidRPr="00933AAF">
              <w:t>-</w:t>
            </w:r>
            <w:r w:rsidRPr="00933AAF">
              <w:tab/>
              <w:t>SN change failure;</w:t>
            </w:r>
          </w:p>
          <w:p w14:paraId="4F9573AF" w14:textId="77777777" w:rsidR="0051548A" w:rsidRPr="00933AAF" w:rsidRDefault="0051548A" w:rsidP="0051548A">
            <w:pPr>
              <w:pStyle w:val="B1"/>
            </w:pPr>
            <w:r w:rsidRPr="00933AAF">
              <w:t>-</w:t>
            </w:r>
            <w:r w:rsidRPr="00933AAF">
              <w:tab/>
            </w:r>
            <w:r>
              <w:rPr>
                <w:lang w:val="en-US"/>
              </w:rPr>
              <w:t>For</w:t>
            </w:r>
            <w:r>
              <w:t xml:space="preserve"> EN-DC</w:t>
            </w:r>
            <w:r>
              <w:rPr>
                <w:lang w:val="en-US"/>
              </w:rPr>
              <w:t xml:space="preserve">, </w:t>
            </w:r>
            <w:r w:rsidRPr="00A26E5C">
              <w:t>NGEN-DC</w:t>
            </w:r>
            <w:r>
              <w:rPr>
                <w:lang w:val="en-US"/>
              </w:rPr>
              <w:t xml:space="preserve"> and NR-DC,</w:t>
            </w:r>
            <w:r w:rsidRPr="00A26E5C">
              <w:t xml:space="preserve"> </w:t>
            </w:r>
            <w:r w:rsidRPr="00933AAF">
              <w:t>SCG configuration failure (only for messages on SRB3);</w:t>
            </w:r>
          </w:p>
          <w:p w14:paraId="3383E9ED" w14:textId="77777777" w:rsidR="0051548A" w:rsidRPr="00933AAF" w:rsidRDefault="0051548A" w:rsidP="0051548A">
            <w:pPr>
              <w:pStyle w:val="B1"/>
            </w:pPr>
            <w:r w:rsidRPr="00933AAF">
              <w:t>-</w:t>
            </w:r>
            <w:r w:rsidRPr="00933AAF">
              <w:tab/>
            </w:r>
            <w:r>
              <w:rPr>
                <w:lang w:val="en-US"/>
              </w:rPr>
              <w:t>For</w:t>
            </w:r>
            <w:r w:rsidRPr="00A26E5C">
              <w:t xml:space="preserve"> EN-DC</w:t>
            </w:r>
            <w:r>
              <w:rPr>
                <w:lang w:val="en-US"/>
              </w:rPr>
              <w:t>,</w:t>
            </w:r>
            <w:r>
              <w:t xml:space="preserve"> </w:t>
            </w:r>
            <w:r w:rsidRPr="00A26E5C">
              <w:t>NGEN-DC</w:t>
            </w:r>
            <w:r>
              <w:rPr>
                <w:lang w:val="en-US"/>
              </w:rPr>
              <w:t xml:space="preserve"> and NR-DC,</w:t>
            </w:r>
            <w:r w:rsidRPr="00A26E5C">
              <w:t xml:space="preserve"> </w:t>
            </w:r>
            <w:r w:rsidRPr="00933AAF">
              <w:t>SCG RRC integrity check failure (on SRB3).</w:t>
            </w:r>
          </w:p>
          <w:p w14:paraId="66B1EB68" w14:textId="77777777" w:rsidR="0051548A" w:rsidRPr="00933AAF" w:rsidRDefault="0051548A" w:rsidP="0051548A">
            <w:r w:rsidRPr="0051548A">
              <w:rPr>
                <w:highlight w:val="yellow"/>
              </w:rPr>
              <w:t>Upon SCG failure the UE suspends SCG transmissions for all radio bearers and reports the SCG Failure Information to the MN, instead of triggering re-establishment.</w:t>
            </w:r>
          </w:p>
          <w:p w14:paraId="52A0EB78" w14:textId="77777777" w:rsidR="0051548A" w:rsidRPr="00933AAF" w:rsidRDefault="0051548A" w:rsidP="0051548A">
            <w:r w:rsidRPr="00933AAF">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027629A6" w14:textId="77777777" w:rsidR="0051548A" w:rsidRPr="00933AAF" w:rsidRDefault="0051548A" w:rsidP="0051548A">
            <w:pPr>
              <w:pStyle w:val="NO"/>
            </w:pPr>
            <w:r w:rsidRPr="00933AAF">
              <w:t>NOTE:</w:t>
            </w:r>
            <w:r w:rsidRPr="00933AAF">
              <w:tab/>
              <w:t>UE may not continue measurements based on configuration from the SN after SCG failure in certain cases (e.g. UE can not maintain the timing of PSCell).</w:t>
            </w:r>
          </w:p>
          <w:p w14:paraId="4652379C" w14:textId="3CDF7C7C" w:rsidR="0051548A" w:rsidRDefault="0051548A" w:rsidP="009D064C">
            <w:r w:rsidRPr="0051548A">
              <w:rPr>
                <w:highlight w:val="yellow"/>
              </w:rPr>
              <w:t xml:space="preserve">The UE includes in the </w:t>
            </w:r>
            <w:r w:rsidRPr="0051548A">
              <w:rPr>
                <w:i/>
                <w:highlight w:val="yellow"/>
              </w:rPr>
              <w:t>SCG Failure Information</w:t>
            </w:r>
            <w:r w:rsidRPr="0051548A">
              <w:rPr>
                <w:highlight w:val="yellow"/>
              </w:rPr>
              <w:t xml:space="preserve"> message the measurement results available according to current measurement configuration of both the MN and the SN.</w:t>
            </w:r>
            <w:r w:rsidRPr="0051548A">
              <w:rPr>
                <w:highlight w:val="yellow"/>
              </w:rPr>
              <w:tab/>
              <w:t xml:space="preserve">The MN handles the </w:t>
            </w:r>
            <w:r w:rsidRPr="0051548A">
              <w:rPr>
                <w:i/>
                <w:highlight w:val="yellow"/>
              </w:rPr>
              <w:t>SCG Failure Information</w:t>
            </w:r>
            <w:r w:rsidRPr="0051548A">
              <w:rPr>
                <w:highlight w:val="yellow"/>
              </w:rPr>
              <w:t xml:space="preserve"> message and may decide to keep, change, or release the SN/SCG. In all the cases, the measurement results according to the SN configuration and the SCG failure type may be forwarded to the old SN and/or to the new SN.</w:t>
            </w:r>
          </w:p>
        </w:tc>
      </w:tr>
    </w:tbl>
    <w:p w14:paraId="1274A4C8" w14:textId="64B77D5B" w:rsidR="0051548A" w:rsidRDefault="0051548A" w:rsidP="009D064C"/>
    <w:p w14:paraId="6E5103DE" w14:textId="50CE9B29" w:rsidR="0051548A" w:rsidRDefault="0051548A" w:rsidP="009D064C">
      <w:r>
        <w:t xml:space="preserve">As far as SCG failure (or SCG RLF) is concerned, the UE will </w:t>
      </w:r>
      <w:r w:rsidR="00F106E4">
        <w:t>keep on measuring the measurements configured by the SCG, but will suspend SCG transmissions for all radio bearers (i.e. transmissions over SCG bearers and over SCG part of split bearers)</w:t>
      </w:r>
      <w:r w:rsidR="005D509B">
        <w:t xml:space="preserve"> and will initiate SCG Failure I</w:t>
      </w:r>
      <w:r w:rsidR="00CF447D">
        <w:t xml:space="preserve">nformation reporting procedure via MCG. Based on the </w:t>
      </w:r>
      <w:r w:rsidR="000571B9">
        <w:t xml:space="preserve">received </w:t>
      </w:r>
      <w:r w:rsidR="00CF447D">
        <w:t xml:space="preserve">report </w:t>
      </w:r>
      <w:r w:rsidR="000571B9">
        <w:t xml:space="preserve">the MCG may decide to reconfigure the SCG by considering the included measurements and other available information. This case seems to be well covered by the current NR-DC design in a way which can </w:t>
      </w:r>
      <w:r w:rsidR="008B2CFC">
        <w:t>ensure low interruption time for IAB traffic</w:t>
      </w:r>
      <w:r w:rsidR="000571B9">
        <w:t>.</w:t>
      </w:r>
    </w:p>
    <w:p w14:paraId="4343E173" w14:textId="3980B499" w:rsidR="000571B9" w:rsidRDefault="000571B9" w:rsidP="009D064C">
      <w:pPr>
        <w:rPr>
          <w:b/>
        </w:rPr>
      </w:pPr>
      <w:r>
        <w:rPr>
          <w:b/>
        </w:rPr>
        <w:t>Observation 1: No modifications to SCG RLF handling are required for support of IAB scenarios.</w:t>
      </w:r>
    </w:p>
    <w:p w14:paraId="199D3564" w14:textId="761E34C4" w:rsidR="000571B9" w:rsidRDefault="000571B9" w:rsidP="009D064C">
      <w:r w:rsidRPr="000571B9">
        <w:t>The situation i</w:t>
      </w:r>
      <w:r>
        <w:t>s different for the MCG. According to the fragment of [4], as quoted above, upon detecting RLF on MCG, the UE should initiate RRC</w:t>
      </w:r>
      <w:r w:rsidR="008B2CFC">
        <w:t xml:space="preserve"> connection re-establishment procedure. This procedure is rather heavy, since it leads to UE suspending all of its radio bearers except SRB0,</w:t>
      </w:r>
      <w:r w:rsidR="00B74F7C">
        <w:t xml:space="preserve"> resetting MAC protocol,</w:t>
      </w:r>
      <w:r w:rsidR="008B2CFC">
        <w:t xml:space="preserve"> releasing configuration of all SCells </w:t>
      </w:r>
      <w:r w:rsidR="00B74F7C">
        <w:t xml:space="preserve">and SCG configuration as well as releasing configuration of practically all other features (e.g. assistance information). After that the UE needs to perform selection process and once a suitable cell is identified, the UE sends RRC Reestablishment Request message using parameters </w:t>
      </w:r>
      <w:r w:rsidR="00B74F7C">
        <w:t xml:space="preserve">signalled in SIB1 and default configurations of PHY and MAC layers. If the cell selected by the UE is prepared, i.e. the hosting gNB possesses UE context or is able to fetch it from the previously serving cell (as indicated by the UE in the re-establishment request), the RRC connection will be resumed. However, the whole process is very lengthy. What is even more important, such interruption time </w:t>
      </w:r>
      <w:r w:rsidR="00824718">
        <w:t xml:space="preserve">could </w:t>
      </w:r>
      <w:r w:rsidR="00B74F7C">
        <w:t>be easily avoided considering that the SCG link is still of good quality</w:t>
      </w:r>
      <w:r w:rsidR="00824718">
        <w:t xml:space="preserve"> when the RLF is experienced on MCG</w:t>
      </w:r>
      <w:r w:rsidR="00B74F7C">
        <w:t>. Furthermore, it is very likely that one of the SCG cells will be the one selected by the UE for sending RRC Reestablishment Request and that it would be the one to become new PCell</w:t>
      </w:r>
      <w:r w:rsidR="00FB30FB">
        <w:t xml:space="preserve"> turning previous SCG into MCG in the </w:t>
      </w:r>
      <w:r w:rsidR="00FB30FB">
        <w:t xml:space="preserve">end. </w:t>
      </w:r>
    </w:p>
    <w:p w14:paraId="7B31785C" w14:textId="6BD56AF9" w:rsidR="00FB30FB" w:rsidRDefault="00FB30FB" w:rsidP="009D064C">
      <w:pPr>
        <w:rPr>
          <w:b/>
        </w:rPr>
      </w:pPr>
      <w:r>
        <w:rPr>
          <w:b/>
        </w:rPr>
        <w:t xml:space="preserve">Observation 2: RRC Reestablishment is a lengthy procedure and </w:t>
      </w:r>
      <w:r w:rsidR="0071345B">
        <w:rPr>
          <w:b/>
        </w:rPr>
        <w:t xml:space="preserve">relying on it for BH link failure recovery would </w:t>
      </w:r>
      <w:r>
        <w:rPr>
          <w:b/>
        </w:rPr>
        <w:t xml:space="preserve">lead to significant </w:t>
      </w:r>
      <w:r w:rsidR="0071345B">
        <w:rPr>
          <w:b/>
        </w:rPr>
        <w:t>BH</w:t>
      </w:r>
      <w:r>
        <w:rPr>
          <w:b/>
        </w:rPr>
        <w:t xml:space="preserve"> link interruption</w:t>
      </w:r>
      <w:r w:rsidR="0071345B">
        <w:rPr>
          <w:b/>
        </w:rPr>
        <w:t xml:space="preserve"> time</w:t>
      </w:r>
      <w:r>
        <w:rPr>
          <w:b/>
        </w:rPr>
        <w:t>.</w:t>
      </w:r>
    </w:p>
    <w:p w14:paraId="66ACCC51" w14:textId="79CAE56F" w:rsidR="00FB30FB" w:rsidRDefault="00FB30FB" w:rsidP="009D064C">
      <w:pPr>
        <w:rPr>
          <w:b/>
        </w:rPr>
      </w:pPr>
      <w:r>
        <w:rPr>
          <w:b/>
        </w:rPr>
        <w:t xml:space="preserve">Observation 3: In case </w:t>
      </w:r>
      <w:r w:rsidR="0071345B">
        <w:rPr>
          <w:b/>
        </w:rPr>
        <w:t xml:space="preserve">of NR-DC being established by MT in IAB node, RRC Re-establishment procedure would likely lead to former SCG </w:t>
      </w:r>
      <w:r w:rsidR="0071345B">
        <w:rPr>
          <w:b/>
        </w:rPr>
        <w:t>becoming MT’s MCG.</w:t>
      </w:r>
    </w:p>
    <w:p w14:paraId="77D0DCE4" w14:textId="4E58A5BE" w:rsidR="0071345B" w:rsidRDefault="0071345B" w:rsidP="009D064C">
      <w:r>
        <w:t xml:space="preserve">Considering observations 2 and 3, we find it beneficial for NR-DC framework to support the behaviour as captured for IAB BH link recovery, i.e. allowing switching SCG to MCG quickly, upon RLF detection on MCG. Such behaviour could be easily realized by allowing MCG failure information reporting via SRB established with </w:t>
      </w:r>
      <w:r w:rsidR="0014784D">
        <w:t xml:space="preserve">SN </w:t>
      </w:r>
      <w:r>
        <w:t xml:space="preserve">(e.g. split SRB1 or SRB3). This way the report would reach current </w:t>
      </w:r>
      <w:r w:rsidR="0014784D">
        <w:t xml:space="preserve">MN </w:t>
      </w:r>
      <w:r>
        <w:t xml:space="preserve">of the UE/MT and </w:t>
      </w:r>
      <w:r w:rsidR="0014784D">
        <w:t xml:space="preserve">MN </w:t>
      </w:r>
      <w:r>
        <w:t xml:space="preserve">could make a decision to perform a handover, e.g. by choosing current PSCell of the UE to become its new PCell and turning SCG into MCG as a consequence. This would be one of the potential options, but </w:t>
      </w:r>
      <w:r w:rsidR="0014784D">
        <w:t xml:space="preserve">MN </w:t>
      </w:r>
      <w:r>
        <w:t xml:space="preserve">could actually reconfigure the MT also in another way, e.g. one of its SCells may be a good candidate for the new PCell as well. What is essential is that there is a possibility for the MT to send MCG failure indication via split SRB1 or SRB3 and for the </w:t>
      </w:r>
      <w:r w:rsidR="0014784D">
        <w:t xml:space="preserve">MN </w:t>
      </w:r>
      <w:r>
        <w:t>to send a handover command back to the MT, again via split SRB1 or SRB3.</w:t>
      </w:r>
    </w:p>
    <w:p w14:paraId="6536C161" w14:textId="1AE6E3A1" w:rsidR="0071345B" w:rsidRDefault="0071345B" w:rsidP="009D064C">
      <w:pPr>
        <w:rPr>
          <w:b/>
        </w:rPr>
      </w:pPr>
      <w:r>
        <w:rPr>
          <w:b/>
        </w:rPr>
        <w:t xml:space="preserve">Proposal 2: NR-DC </w:t>
      </w:r>
      <w:r w:rsidR="00942AAF">
        <w:rPr>
          <w:b/>
        </w:rPr>
        <w:t xml:space="preserve">should support MCG failure (MCG-RLF) information reporting to </w:t>
      </w:r>
      <w:r w:rsidR="00F707ED">
        <w:rPr>
          <w:b/>
        </w:rPr>
        <w:t xml:space="preserve">MN via SN </w:t>
      </w:r>
      <w:r w:rsidR="00942AAF">
        <w:rPr>
          <w:b/>
        </w:rPr>
        <w:t>(e.g. using split SRB1 or SRB3), at least for IAB scenarios.</w:t>
      </w:r>
    </w:p>
    <w:p w14:paraId="1E0F2D9C" w14:textId="2B31E8F3" w:rsidR="00942AAF" w:rsidRDefault="00942AAF" w:rsidP="009D064C">
      <w:pPr>
        <w:rPr>
          <w:b/>
        </w:rPr>
      </w:pPr>
      <w:r w:rsidRPr="00942AAF">
        <w:rPr>
          <w:b/>
        </w:rPr>
        <w:t>Proposal 3:</w:t>
      </w:r>
      <w:r>
        <w:rPr>
          <w:b/>
        </w:rPr>
        <w:t xml:space="preserve"> NR-DC should support sending Handover Command from M</w:t>
      </w:r>
      <w:r w:rsidR="002B1A08">
        <w:rPr>
          <w:b/>
        </w:rPr>
        <w:t>N</w:t>
      </w:r>
      <w:r>
        <w:rPr>
          <w:b/>
        </w:rPr>
        <w:t xml:space="preserve"> </w:t>
      </w:r>
      <w:r w:rsidR="002B1A08">
        <w:rPr>
          <w:b/>
        </w:rPr>
        <w:t xml:space="preserve">via SN </w:t>
      </w:r>
      <w:r>
        <w:rPr>
          <w:b/>
        </w:rPr>
        <w:t>(e.g. using split SRB1 or SRB3), at least for IAB scenarios.</w:t>
      </w:r>
    </w:p>
    <w:p w14:paraId="19FBD34E" w14:textId="0ADEF769" w:rsidR="00F707ED" w:rsidRDefault="00F707ED" w:rsidP="009D064C">
      <w:pPr>
        <w:rPr>
          <w:b/>
        </w:rPr>
      </w:pPr>
      <w:r>
        <w:rPr>
          <w:b/>
        </w:rPr>
        <w:t>Proposal 4: MT of an IAB node operating in NR-DC mode should not trigger RRC Reestablishment procedure in case SCG path is operational.</w:t>
      </w:r>
    </w:p>
    <w:p w14:paraId="05EB8A78" w14:textId="769D0228" w:rsidR="00A97915" w:rsidRDefault="00A97915" w:rsidP="009D064C">
      <w:r>
        <w:t xml:space="preserve">For some reason, for dual connectivity case IAB TR captures only the case with a single Donor CU being involved. In our understanding, there is nothing that would prevent an MT in the IAB node from establishing SCG hosted by the second Donor CU. Current NR-DC framework is able to support both single CU and two CU cases and we should </w:t>
      </w:r>
      <w:r w:rsidR="00B276C4">
        <w:t xml:space="preserve">not disallow </w:t>
      </w:r>
      <w:r w:rsidR="00824718">
        <w:t xml:space="preserve">the two CU case </w:t>
      </w:r>
      <w:r w:rsidR="00B276C4">
        <w:t>by unnecessary restrictions in IAB deployments. Please note that this is not equivalent to DU in the IAB node being connected to two different Donor CU, which is a separate issue and is fully to RAN3 discretion.</w:t>
      </w:r>
    </w:p>
    <w:p w14:paraId="5CAC627B" w14:textId="34C279E9" w:rsidR="00B276C4" w:rsidRDefault="00B276C4" w:rsidP="009D064C">
      <w:pPr>
        <w:rPr>
          <w:b/>
        </w:rPr>
      </w:pPr>
      <w:r>
        <w:rPr>
          <w:b/>
        </w:rPr>
        <w:t xml:space="preserve">Proposal </w:t>
      </w:r>
      <w:r w:rsidR="00F707ED">
        <w:rPr>
          <w:b/>
        </w:rPr>
        <w:t>5</w:t>
      </w:r>
      <w:r>
        <w:rPr>
          <w:b/>
        </w:rPr>
        <w:t>: IAB design should not disallow an MT in a IAB node from operating in NR-DC mode involving two different CUs.</w:t>
      </w:r>
    </w:p>
    <w:p w14:paraId="3F4299B3" w14:textId="35277906" w:rsidR="00B276C4" w:rsidRPr="00086A82" w:rsidRDefault="00B276C4" w:rsidP="00B276C4">
      <w:pPr>
        <w:pStyle w:val="Heading1"/>
      </w:pPr>
      <w:r>
        <w:t>3</w:t>
      </w:r>
      <w:r w:rsidRPr="00086A82">
        <w:tab/>
        <w:t xml:space="preserve">RLF in </w:t>
      </w:r>
      <w:r>
        <w:t xml:space="preserve">single-connected </w:t>
      </w:r>
      <w:r w:rsidRPr="00086A82">
        <w:t>IAB node</w:t>
      </w:r>
    </w:p>
    <w:p w14:paraId="37B142EE" w14:textId="15572BB3" w:rsidR="00B276C4" w:rsidRDefault="00B276C4" w:rsidP="009D064C">
      <w:r w:rsidRPr="00B276C4">
        <w:t xml:space="preserve">There are two different </w:t>
      </w:r>
      <w:r>
        <w:t>scenarios captured for RLF handling of single connected IAB node in [2], the one without a necessity to change Donor CU</w:t>
      </w:r>
      <w:r w:rsidR="00A02ED8">
        <w:t xml:space="preserve"> and the one involving Donor CU change</w:t>
      </w:r>
      <w:r>
        <w:t xml:space="preserve">. </w:t>
      </w:r>
      <w:r w:rsidR="00A02ED8">
        <w:t>The latter case is more complicated, but the main complications arise on the RAN network side, e.g. how to move the DU part of the IAB node under new Donor CU, there is more RAN network signalling as Xn interface is involved etc. In this contribution, we would like to focus on RAN2 aspects, which are common in both scenarios.</w:t>
      </w:r>
    </w:p>
    <w:p w14:paraId="4C343995" w14:textId="5F7126D5" w:rsidR="00A02ED8" w:rsidRDefault="00A02ED8" w:rsidP="009D064C">
      <w:pPr>
        <w:rPr>
          <w:b/>
        </w:rPr>
      </w:pPr>
      <w:r>
        <w:rPr>
          <w:b/>
        </w:rPr>
        <w:t xml:space="preserve">Observation 4: </w:t>
      </w:r>
      <w:r w:rsidR="0071263C">
        <w:rPr>
          <w:b/>
        </w:rPr>
        <w:t xml:space="preserve">From </w:t>
      </w:r>
      <w:r>
        <w:rPr>
          <w:b/>
        </w:rPr>
        <w:t xml:space="preserve">RAN2 perspective, RLF scenarios with and without Donor CU change </w:t>
      </w:r>
      <w:r w:rsidR="0071263C">
        <w:rPr>
          <w:b/>
        </w:rPr>
        <w:t>are handled i</w:t>
      </w:r>
      <w:r w:rsidR="007C00F6">
        <w:rPr>
          <w:b/>
        </w:rPr>
        <w:t>n a very similar way on</w:t>
      </w:r>
      <w:r w:rsidR="0071263C">
        <w:rPr>
          <w:b/>
        </w:rPr>
        <w:t xml:space="preserve"> Uu interface.</w:t>
      </w:r>
    </w:p>
    <w:p w14:paraId="0B1C1FE7" w14:textId="72B890CC" w:rsidR="00CD3281" w:rsidRDefault="00CD3281" w:rsidP="00CD3281">
      <w:r>
        <w:t>During the study phase, the following enhancements were captured in the TR section devoted to “</w:t>
      </w:r>
      <w:r w:rsidRPr="00E23CFA">
        <w:t>Efficient backhaul-link-failure recovery</w:t>
      </w:r>
      <w:r>
        <w:t>”:</w:t>
      </w:r>
    </w:p>
    <w:tbl>
      <w:tblPr>
        <w:tblStyle w:val="TableGrid"/>
        <w:tblW w:w="0" w:type="auto"/>
        <w:tblLook w:val="04A0" w:firstRow="1" w:lastRow="0" w:firstColumn="1" w:lastColumn="0" w:noHBand="0" w:noVBand="1"/>
      </w:tblPr>
      <w:tblGrid>
        <w:gridCol w:w="9631"/>
      </w:tblGrid>
      <w:tr w:rsidR="00CD3281" w14:paraId="38E55688" w14:textId="77777777" w:rsidTr="005F54F7">
        <w:tc>
          <w:tcPr>
            <w:tcW w:w="9631" w:type="dxa"/>
          </w:tcPr>
          <w:p w14:paraId="51009345" w14:textId="77777777" w:rsidR="00CD3281" w:rsidRPr="00E23CFA" w:rsidRDefault="00CD3281" w:rsidP="005F54F7">
            <w:pPr>
              <w:rPr>
                <w:lang w:eastAsia="zh-CN"/>
              </w:rPr>
            </w:pPr>
            <w:r w:rsidRPr="00E23CFA">
              <w:rPr>
                <w:lang w:eastAsia="zh-CN"/>
              </w:rPr>
              <w:t>The following can be considered for recovery from backhaul failures:</w:t>
            </w:r>
          </w:p>
          <w:p w14:paraId="1E1E9A4E" w14:textId="77777777" w:rsidR="00CD3281" w:rsidRPr="00E23CFA" w:rsidRDefault="00CD3281" w:rsidP="005F54F7">
            <w:pPr>
              <w:pStyle w:val="B1"/>
              <w:rPr>
                <w:lang w:eastAsia="zh-CN"/>
              </w:rPr>
            </w:pPr>
            <w:r w:rsidRPr="00E23CFA">
              <w:rPr>
                <w:rFonts w:eastAsia="Malgun Gothic"/>
                <w:lang w:eastAsia="ko-KR"/>
              </w:rPr>
              <w:t>-</w:t>
            </w:r>
            <w:r w:rsidRPr="00E23CFA">
              <w:rPr>
                <w:rFonts w:eastAsia="Malgun Gothic"/>
                <w:lang w:eastAsia="ko-KR"/>
              </w:rPr>
              <w:tab/>
            </w:r>
            <w:r w:rsidRPr="00E23CFA">
              <w:rPr>
                <w:lang w:eastAsia="zh-CN"/>
              </w:rPr>
              <w:t>Information can be provided to downstream IAB-nodes regarding backhaul failure including a list of nodes that cannot serve as parent nodes due to the backhaul failure.</w:t>
            </w:r>
          </w:p>
          <w:p w14:paraId="17126CD1" w14:textId="77777777" w:rsidR="00CD3281" w:rsidRDefault="00CD3281" w:rsidP="005F54F7">
            <w:pPr>
              <w:pStyle w:val="B1"/>
              <w:rPr>
                <w:lang w:eastAsia="zh-CN"/>
              </w:rPr>
            </w:pPr>
            <w:r w:rsidRPr="00E23CFA">
              <w:rPr>
                <w:rFonts w:eastAsia="Malgun Gothic"/>
                <w:lang w:eastAsia="ko-KR"/>
              </w:rPr>
              <w:t>-</w:t>
            </w:r>
            <w:r w:rsidRPr="00E23CFA">
              <w:rPr>
                <w:rFonts w:eastAsia="Malgun Gothic"/>
                <w:lang w:eastAsia="ko-KR"/>
              </w:rPr>
              <w:tab/>
            </w:r>
            <w:r w:rsidRPr="00E23CFA">
              <w:rPr>
                <w:lang w:eastAsia="zh-CN"/>
              </w:rPr>
              <w:t>Preparation of alternative backhaul links and routes in advance (i.e. before occurrence of RLF).</w:t>
            </w:r>
          </w:p>
        </w:tc>
      </w:tr>
    </w:tbl>
    <w:p w14:paraId="5135799F" w14:textId="77777777" w:rsidR="00CD3281" w:rsidRDefault="00CD3281" w:rsidP="00CD3281"/>
    <w:p w14:paraId="0B8796EA" w14:textId="057A4F1F" w:rsidR="00CD3281" w:rsidRDefault="00CD3281" w:rsidP="00CD3281">
      <w:r>
        <w:t>Similarly, as in the case of NR-DC, the alternative backhaul link can be pre-prepared for IAB node before the RLF actually happens. This means that for example adaptation layer and routing tables can be already configured in the concerned IAB node as well as other IAB nodes on the second path. The only difference with the NR-DC case would be that the radio connection with the second parent is not yet operational.</w:t>
      </w:r>
    </w:p>
    <w:p w14:paraId="6BB553CA" w14:textId="23CBAC00" w:rsidR="00CD3281" w:rsidRDefault="00CD3281" w:rsidP="00CD3281">
      <w:pPr>
        <w:rPr>
          <w:b/>
        </w:rPr>
      </w:pPr>
      <w:r>
        <w:rPr>
          <w:b/>
        </w:rPr>
        <w:t xml:space="preserve">Proposal </w:t>
      </w:r>
      <w:r w:rsidR="00F707ED">
        <w:rPr>
          <w:b/>
        </w:rPr>
        <w:t>6</w:t>
      </w:r>
      <w:r>
        <w:rPr>
          <w:b/>
        </w:rPr>
        <w:t>: Donor CU should be able to prepare secondary route for the IAB node to allow for faster RLF recovery even in case the IAB node is not dual-connected. The pre-preparation may include configuring adaptation layer and routing tables on the IAB nodes on the secondary route in advance.</w:t>
      </w:r>
    </w:p>
    <w:p w14:paraId="3CB0D994" w14:textId="5ABB561D" w:rsidR="007C00F6" w:rsidRDefault="00CD3281" w:rsidP="009D064C">
      <w:r>
        <w:t>When it comes to how to handle RLF occurrence from radio interface perspective, i</w:t>
      </w:r>
      <w:r w:rsidR="007C00F6">
        <w:t>n both scenarios 2 and 3 the procedure described in the IAB TR relies on RRC Reestablishment procedure,</w:t>
      </w:r>
      <w:r w:rsidR="00B07B47">
        <w:t xml:space="preserve"> which, as proven above, is very inefficient.</w:t>
      </w:r>
    </w:p>
    <w:p w14:paraId="3EEC94FC" w14:textId="5F8A8DDE" w:rsidR="001C4659" w:rsidRDefault="00B07B47" w:rsidP="009D064C">
      <w:pPr>
        <w:rPr>
          <w:b/>
        </w:rPr>
      </w:pPr>
      <w:r>
        <w:rPr>
          <w:b/>
        </w:rPr>
        <w:t>Observation 5: Similarly</w:t>
      </w:r>
      <w:r w:rsidR="001C4659">
        <w:rPr>
          <w:b/>
        </w:rPr>
        <w:t>,</w:t>
      </w:r>
      <w:r>
        <w:rPr>
          <w:b/>
        </w:rPr>
        <w:t xml:space="preserve"> as in NR-DC case, relying on RRC Reestablishment procedure for BH link failure recovery </w:t>
      </w:r>
      <w:r w:rsidR="001C4659">
        <w:rPr>
          <w:b/>
        </w:rPr>
        <w:t xml:space="preserve">for single-connected IAB node’s MT </w:t>
      </w:r>
      <w:r>
        <w:rPr>
          <w:b/>
        </w:rPr>
        <w:t>would lead to significant BH link interruption time.</w:t>
      </w:r>
    </w:p>
    <w:p w14:paraId="3D062498" w14:textId="3671E2D7" w:rsidR="003B2C92" w:rsidRDefault="00CD3281" w:rsidP="003B2C92">
      <w:pPr>
        <w:rPr>
          <w:lang w:val="en-US"/>
        </w:rPr>
      </w:pPr>
      <w:r>
        <w:t xml:space="preserve">To handle that inefficiency, the pre-preparation of alternate BH link should be also performed on Uu interface. In NR-DC case this can be addressed by taking advantage of operational SCG link as described above while for single-connected IAB node, the natural candidate is conditional handover. </w:t>
      </w:r>
      <w:r w:rsidR="003B2C92">
        <w:t xml:space="preserve">Although the details of conditional handover are yet to be discussed as part of Mobility WI, the general rule behind it is that </w:t>
      </w:r>
      <w:r w:rsidR="003B2C92" w:rsidRPr="003B2C92">
        <w:t>the final decision about when to switch to a target cell/gNB is made by the UE based on the condition pre-configured by the source cell/gNB. Since the pre-configuration is provided when UE still experiences stable connection with its serving cell, it is possible to avoid a situation where UE’s measurement report does not reach source gNB or HO command does not reach the UE on time, because of already deteriorated radio conditions.</w:t>
      </w:r>
      <w:r w:rsidR="003B2C92">
        <w:t xml:space="preserve"> As such, it would be a perfect fit for IAB scenarios where </w:t>
      </w:r>
      <w:r w:rsidR="003B2C92">
        <w:rPr>
          <w:lang w:val="en-US"/>
        </w:rPr>
        <w:t xml:space="preserve">IAB nodes will operate in a defined topology, i.e. will have a specified parent node and a set of candidate parent nodes, i.e. the ones they can switch to in case of, e.g. blockage or current parent node failure. It is not yet clear how the design of conditional handover for NR will look like, but it is important to ensure that IAB requirements are taken into consideration while it is being developed. In the conditional HO discussions thus far (e.g. in Rel-15) companies focused on </w:t>
      </w:r>
      <w:r w:rsidR="003B2C92" w:rsidRPr="003F7F29">
        <w:rPr>
          <w:lang w:val="en-US"/>
        </w:rPr>
        <w:t>access UEs</w:t>
      </w:r>
      <w:r w:rsidR="003B2C92">
        <w:rPr>
          <w:lang w:val="en-US"/>
        </w:rPr>
        <w:t xml:space="preserve">, which could be </w:t>
      </w:r>
      <w:r w:rsidR="003B2C92" w:rsidRPr="003F7F29">
        <w:rPr>
          <w:lang w:val="en-US"/>
        </w:rPr>
        <w:t>moving through the network</w:t>
      </w:r>
      <w:r w:rsidR="003B2C92">
        <w:rPr>
          <w:lang w:val="en-US"/>
        </w:rPr>
        <w:t xml:space="preserve"> relatively fast</w:t>
      </w:r>
      <w:r w:rsidR="003B2C92" w:rsidRPr="003F7F29">
        <w:rPr>
          <w:lang w:val="en-US"/>
        </w:rPr>
        <w:t>. In the IAB deployments, the main reason for changing parent node of an IAB node would be due to link failure or its significant deterioration and not due to mobility. Thus, traditionally used HO triggers based on mobility events may not be applicable in these scenarios</w:t>
      </w:r>
      <w:r w:rsidR="003B2C92">
        <w:rPr>
          <w:lang w:val="en-US"/>
        </w:rPr>
        <w:t xml:space="preserve">, e.g. RRM measurements </w:t>
      </w:r>
      <w:r w:rsidR="003B2C92" w:rsidRPr="003F7F29">
        <w:rPr>
          <w:lang w:val="en-US"/>
        </w:rPr>
        <w:t xml:space="preserve">are filtered with L3 filter, which slows down the </w:t>
      </w:r>
      <w:r w:rsidR="003B2C92">
        <w:rPr>
          <w:lang w:val="en-US"/>
        </w:rPr>
        <w:t xml:space="preserve">mobility </w:t>
      </w:r>
      <w:r w:rsidR="003B2C92" w:rsidRPr="003F7F29">
        <w:rPr>
          <w:lang w:val="en-US"/>
        </w:rPr>
        <w:t>procedure. This is an intended effect for traditional mobility, but in case of fixed IAB nodes, which are subject to blockage, it will increase service interruption time while not bringing any benefit.</w:t>
      </w:r>
      <w:r w:rsidR="003B2C92">
        <w:rPr>
          <w:lang w:val="en-US"/>
        </w:rPr>
        <w:t xml:space="preserve"> To speed the execution of conditional HO in such cases, it would be better to rely on other means, e.g. based on:</w:t>
      </w:r>
    </w:p>
    <w:p w14:paraId="2FB6B044" w14:textId="77777777" w:rsidR="003B2C92" w:rsidRDefault="003B2C92" w:rsidP="003B2C92">
      <w:pPr>
        <w:pStyle w:val="ListParagraph"/>
        <w:numPr>
          <w:ilvl w:val="0"/>
          <w:numId w:val="10"/>
        </w:numPr>
      </w:pPr>
      <w:r>
        <w:t>Beam failure – due to fixed and LOS deployments which are characteristic for IAB architectures, in case a beam configured for the IAB MT part fails, there is little chance another usable beam can be found in the same cell. Instead of proceeding with beam failure recovery procedure, it would be then better to switch to another parent node right-away.</w:t>
      </w:r>
    </w:p>
    <w:p w14:paraId="0E94DA67" w14:textId="4606F99B" w:rsidR="003B2C92" w:rsidRDefault="003B2C92" w:rsidP="003B2C92">
      <w:pPr>
        <w:pStyle w:val="ListParagraph"/>
        <w:numPr>
          <w:ilvl w:val="0"/>
          <w:numId w:val="10"/>
        </w:numPr>
      </w:pPr>
      <w:r>
        <w:t xml:space="preserve">Radio link failure – similar logic could apply to RLF, i.e., instead of trying to re-establish a connection with a current or another parent node, proceeding with conditional handover to </w:t>
      </w:r>
      <w:r w:rsidR="00B9618A">
        <w:t>s</w:t>
      </w:r>
      <w:r>
        <w:t xml:space="preserve">witch the parent node would work faster. </w:t>
      </w:r>
    </w:p>
    <w:p w14:paraId="17B7C82B" w14:textId="31F8FBDE" w:rsidR="003B2C92" w:rsidRDefault="003B2C92" w:rsidP="003B2C92">
      <w:pPr>
        <w:pStyle w:val="ListParagraph"/>
        <w:numPr>
          <w:ilvl w:val="0"/>
          <w:numId w:val="10"/>
        </w:numPr>
      </w:pPr>
      <w:r>
        <w:t>Physical layer issues indication – to accelerate the procedure even more UE could execute conditional HO based on physical layer issues used for radio link monitoring.</w:t>
      </w:r>
    </w:p>
    <w:p w14:paraId="37E3526F" w14:textId="3B81CBF1" w:rsidR="003B2C92" w:rsidRDefault="003B2C92" w:rsidP="003B2C92">
      <w:r>
        <w:t>Whether and how conditional will be specified should be discussed within Mobility Wor</w:t>
      </w:r>
      <w:r w:rsidR="00D16E5E">
        <w:t>k</w:t>
      </w:r>
      <w:r>
        <w:t xml:space="preserve"> Item, but it is important to agree that IAB specifics should also be considered there.</w:t>
      </w:r>
      <w:r w:rsidR="00B9618A">
        <w:t xml:space="preserve"> The same would apply for RACH-less handover, which could be leveraged to further decrease the time for which BH link is not available. It could be used for both single-connected IAB node and dual-connected IAB node with SCG to MCG role switch as described above. In the latter case there is no need to derive TA via RACH as the nodes can already be synchronized in UL. In the single connected IAB node case, </w:t>
      </w:r>
      <w:r w:rsidR="00B9618A" w:rsidRPr="001823FE">
        <w:t>due to fixed nature of IAB nodes, the candidate parent nodes can be known in advance</w:t>
      </w:r>
      <w:r w:rsidR="00B9618A">
        <w:t xml:space="preserve"> and</w:t>
      </w:r>
      <w:r w:rsidR="00B9618A" w:rsidRPr="001823FE">
        <w:t xml:space="preserve"> it is possible to get the appropriate timing advance</w:t>
      </w:r>
      <w:r w:rsidR="00762A3C">
        <w:t xml:space="preserve"> </w:t>
      </w:r>
      <w:r w:rsidR="00762A3C" w:rsidRPr="001823FE">
        <w:t xml:space="preserve">value </w:t>
      </w:r>
      <w:r w:rsidR="00762A3C">
        <w:t>(e.g. via measurements performed by IAB nodes)</w:t>
      </w:r>
      <w:r w:rsidR="00B9618A" w:rsidRPr="001823FE">
        <w:t xml:space="preserve"> before the need to switch the link actually occurs and store it for future use.</w:t>
      </w:r>
    </w:p>
    <w:p w14:paraId="1A3AC98A" w14:textId="579232FF" w:rsidR="00B9618A" w:rsidRPr="00B9618A" w:rsidRDefault="00B9618A" w:rsidP="00704972">
      <w:pPr>
        <w:rPr>
          <w:b/>
        </w:rPr>
      </w:pPr>
      <w:r>
        <w:rPr>
          <w:b/>
        </w:rPr>
        <w:t xml:space="preserve">Proposal </w:t>
      </w:r>
      <w:r w:rsidR="00F707ED">
        <w:rPr>
          <w:b/>
        </w:rPr>
        <w:t>7</w:t>
      </w:r>
      <w:r>
        <w:rPr>
          <w:b/>
        </w:rPr>
        <w:t xml:space="preserve">: IAB scenarios should be able to take advantage of enhanced mobility features such as conditional HO or RACH-less HO, if specified. The work on those features in Mobility WI should consider </w:t>
      </w:r>
      <w:r w:rsidR="00226E5A">
        <w:rPr>
          <w:b/>
        </w:rPr>
        <w:t>specificities of IAB network deployment such as fixed nature of IAB nodes and the need for very quick RLF recovery.</w:t>
      </w:r>
    </w:p>
    <w:p w14:paraId="063F9688" w14:textId="77777777" w:rsidR="00172EE6" w:rsidRDefault="00172EE6" w:rsidP="00F73AF5"/>
    <w:p w14:paraId="3E27F747" w14:textId="16ACEBE2" w:rsidR="00172101" w:rsidRPr="00172101" w:rsidRDefault="00D03F1D" w:rsidP="00172101">
      <w:pPr>
        <w:pStyle w:val="Heading1"/>
      </w:pPr>
      <w:r>
        <w:t>4</w:t>
      </w:r>
      <w:r w:rsidR="00172101" w:rsidRPr="00172101">
        <w:tab/>
      </w:r>
      <w:r>
        <w:t>RLF notification to downstream nodes</w:t>
      </w:r>
    </w:p>
    <w:p w14:paraId="7935BE24" w14:textId="229EB9BA" w:rsidR="00F22764" w:rsidRDefault="00D03F1D" w:rsidP="00172101">
      <w:r>
        <w:t>Another potential enhancement for BH link failure handling is to specify the signalling of BH link failure to downstream nodes to make sure the topology adaptation is executed as fast</w:t>
      </w:r>
      <w:r w:rsidR="00FD779B">
        <w:t xml:space="preserve"> as </w:t>
      </w:r>
      <w:r w:rsidR="00F22764">
        <w:t>possible as presented on the figure below extracted from [2].</w:t>
      </w:r>
    </w:p>
    <w:p w14:paraId="45312701" w14:textId="152744EF" w:rsidR="00F22764" w:rsidRDefault="00F22764" w:rsidP="00F22764">
      <w:pPr>
        <w:jc w:val="center"/>
      </w:pPr>
      <w:r w:rsidRPr="00E23CFA">
        <w:object w:dxaOrig="4299" w:dyaOrig="6660" w14:anchorId="09B23852">
          <v:shape id="_x0000_i1026" type="#_x0000_t75" style="width:141.5pt;height:220.4pt" o:ole="">
            <v:imagedata r:id="rId14" o:title=""/>
          </v:shape>
          <o:OLEObject Type="Embed" ProgID="Visio.Drawing.11" ShapeID="_x0000_i1026" DrawAspect="Content" ObjectID="_1611689928" r:id="rId15"/>
        </w:object>
      </w:r>
    </w:p>
    <w:p w14:paraId="1E4628AD" w14:textId="7C07F799" w:rsidR="00172101" w:rsidRDefault="00F22764" w:rsidP="00172101">
      <w:r>
        <w:t>I</w:t>
      </w:r>
      <w:r w:rsidR="00FD779B">
        <w:t xml:space="preserve">t </w:t>
      </w:r>
      <w:r>
        <w:t xml:space="preserve">was mentioned during the study item phase that it </w:t>
      </w:r>
      <w:r w:rsidR="00FD779B">
        <w:t>can be counter-productive for the upstream node to send the BH link failure indication to its child node before attempting to continue the connection with another parent node on its part (e.g. by switching SCG to MCG or by executing conditional handover as discussed in the previous section). However, since the indication is sent from the DU to child IAB node, it can be left up to network implementation when to trigger the notification.</w:t>
      </w:r>
    </w:p>
    <w:p w14:paraId="4E9F4D8B" w14:textId="2691DFC9" w:rsidR="00FD779B" w:rsidRDefault="00FD779B" w:rsidP="00172101">
      <w:pPr>
        <w:rPr>
          <w:b/>
        </w:rPr>
      </w:pPr>
      <w:r>
        <w:rPr>
          <w:b/>
        </w:rPr>
        <w:t xml:space="preserve">Proposal </w:t>
      </w:r>
      <w:r w:rsidR="00F707ED">
        <w:rPr>
          <w:b/>
        </w:rPr>
        <w:t>8</w:t>
      </w:r>
      <w:r>
        <w:rPr>
          <w:b/>
        </w:rPr>
        <w:t xml:space="preserve">: The </w:t>
      </w:r>
      <w:r w:rsidR="0094264F">
        <w:rPr>
          <w:b/>
        </w:rPr>
        <w:t xml:space="preserve">exact </w:t>
      </w:r>
      <w:r>
        <w:rPr>
          <w:b/>
        </w:rPr>
        <w:t xml:space="preserve">conditions under which the </w:t>
      </w:r>
      <w:r w:rsidR="0094264F">
        <w:rPr>
          <w:b/>
        </w:rPr>
        <w:t xml:space="preserve">IAB node’s </w:t>
      </w:r>
      <w:r>
        <w:rPr>
          <w:b/>
        </w:rPr>
        <w:t>DU send</w:t>
      </w:r>
      <w:r w:rsidR="0094264F">
        <w:rPr>
          <w:b/>
        </w:rPr>
        <w:t>s</w:t>
      </w:r>
      <w:r>
        <w:rPr>
          <w:b/>
        </w:rPr>
        <w:t xml:space="preserve"> BH link failure indication to its child node are not specified.</w:t>
      </w:r>
    </w:p>
    <w:p w14:paraId="38ABEB87" w14:textId="347577CD" w:rsidR="00FD779B" w:rsidRDefault="00717622" w:rsidP="00172101">
      <w:r>
        <w:t xml:space="preserve">On the other hand, the situation where the child IAB node attempts to move its connection to another parent while its current parent </w:t>
      </w:r>
      <w:r w:rsidR="00F22764">
        <w:t xml:space="preserve">node may still have a chance of recovering from BH link failure should be avoided. </w:t>
      </w:r>
      <w:r w:rsidR="000D0CA8">
        <w:t>However, a</w:t>
      </w:r>
      <w:r w:rsidR="00F22764">
        <w:t>ssuming that other links are not really affected (e.g. link between IAB-node-5 and IAB-node-6 in the figure above), the RLF on this link would not be triggered by PHY layer out-of-sync indications</w:t>
      </w:r>
      <w:r w:rsidR="000D0CA8">
        <w:t xml:space="preserve">. With hop-by-hop RLC, there should be no problem with </w:t>
      </w:r>
      <w:r w:rsidR="00F22764">
        <w:t xml:space="preserve">reaching maximum number of RLC retransmissions. </w:t>
      </w:r>
      <w:r w:rsidR="000D0CA8">
        <w:t xml:space="preserve">Thus, RLF will not be declared by MT of the child IAB nodes even in case their parent has lost connectivity with upstream node. </w:t>
      </w:r>
    </w:p>
    <w:p w14:paraId="7589F16E" w14:textId="566451B7" w:rsidR="00F22764" w:rsidRPr="00F22764" w:rsidRDefault="000D0CA8" w:rsidP="00172101">
      <w:pPr>
        <w:rPr>
          <w:b/>
        </w:rPr>
      </w:pPr>
      <w:r>
        <w:rPr>
          <w:b/>
        </w:rPr>
        <w:t xml:space="preserve">Observation </w:t>
      </w:r>
      <w:r w:rsidR="00E437A4">
        <w:rPr>
          <w:b/>
        </w:rPr>
        <w:t>6</w:t>
      </w:r>
      <w:r w:rsidR="00F22764">
        <w:rPr>
          <w:b/>
        </w:rPr>
        <w:t xml:space="preserve">: MT of the IAB node </w:t>
      </w:r>
      <w:r>
        <w:rPr>
          <w:b/>
        </w:rPr>
        <w:t xml:space="preserve">whose parent experienced RLF with its upstream node, will </w:t>
      </w:r>
      <w:r w:rsidR="00F22764">
        <w:rPr>
          <w:b/>
        </w:rPr>
        <w:t>not trigger RLF</w:t>
      </w:r>
      <w:r>
        <w:rPr>
          <w:b/>
        </w:rPr>
        <w:t xml:space="preserve"> as long as it experiences good radio conditions on its own backhaul link</w:t>
      </w:r>
      <w:r w:rsidR="00F22764">
        <w:rPr>
          <w:b/>
        </w:rPr>
        <w:t>.</w:t>
      </w:r>
    </w:p>
    <w:p w14:paraId="437CC898" w14:textId="7BA7C6BC" w:rsidR="008E7D78" w:rsidRDefault="00931E3F" w:rsidP="008E7D78">
      <w:r>
        <w:t xml:space="preserve">This way it is ensured that the RLF is only triggered when the radio conditions are deteriorated and that child IAB nodes do not attempt to recover from the BH link failure before their parent node does. </w:t>
      </w:r>
    </w:p>
    <w:p w14:paraId="6E802549" w14:textId="5A454D79" w:rsidR="00931E3F" w:rsidRDefault="00931E3F" w:rsidP="008E7D78">
      <w:r>
        <w:t xml:space="preserve">Another aspect of BH link failure recovery indication is how to signal it. </w:t>
      </w:r>
      <w:r w:rsidR="00F45CA9">
        <w:t xml:space="preserve">Since the dedicated RRC signalling is encoded in CU, there is no possibility to use it. On the other hand, SIB1 is encoded by the DU, so a flag in SIB1 could be used to relay such indication. Another possibility would be to use adaptation layer header, but the first option seems to be a simpler and better fit for carrying this kind of information. </w:t>
      </w:r>
    </w:p>
    <w:p w14:paraId="2FBA0ECC" w14:textId="2359DD29" w:rsidR="00F45CA9" w:rsidRDefault="00F45CA9" w:rsidP="008E7D78">
      <w:pPr>
        <w:rPr>
          <w:b/>
        </w:rPr>
      </w:pPr>
      <w:r>
        <w:rPr>
          <w:b/>
        </w:rPr>
        <w:t>Proposal 9: Use SIB1 for BH link failure indication to child nodes.</w:t>
      </w:r>
    </w:p>
    <w:p w14:paraId="07F78CE5" w14:textId="60C32A70" w:rsidR="00E31A84" w:rsidRPr="00E31A84" w:rsidRDefault="00F45CA9" w:rsidP="008E7D78">
      <w:pPr>
        <w:rPr>
          <w:b/>
        </w:rPr>
      </w:pPr>
      <w:r>
        <w:t xml:space="preserve">One could wonder whether it is safe to carry such information in the broadcast signalling which could be exploited to inject this kind of information to cause chaos in the IAB network. However, such vulnerability concerns both SIB1 and adaptation layer options. </w:t>
      </w:r>
      <w:r w:rsidR="00043FE7">
        <w:t xml:space="preserve">Also, fake SIB1 can be signalled already today by rogue gNBs, so security-wise such approach is aligned with current non-IAB based NR system. </w:t>
      </w:r>
    </w:p>
    <w:p w14:paraId="3884F67D" w14:textId="757EE5D6" w:rsidR="00CD4C7B" w:rsidRDefault="00043FE7" w:rsidP="001B49C9">
      <w:r>
        <w:t>T</w:t>
      </w:r>
      <w:r w:rsidR="00E31A84">
        <w:t xml:space="preserve">he last issue to be resolved is </w:t>
      </w:r>
      <w:r>
        <w:t xml:space="preserve">what the content of such information is, e.g. </w:t>
      </w:r>
      <w:r w:rsidR="00E31A84">
        <w:t xml:space="preserve">whether additional information about other non-operational IAB nodes should be included in the indication. We think this </w:t>
      </w:r>
      <w:r>
        <w:t xml:space="preserve">is not needed for the case where an indication is provided via SIB1. In such a case the MT would simply ignore other cells indicating BH link failure when considering new parent nodes. </w:t>
      </w:r>
    </w:p>
    <w:p w14:paraId="20443011" w14:textId="49862B8F" w:rsidR="00043FE7" w:rsidRPr="00043FE7" w:rsidRDefault="00043FE7" w:rsidP="001B49C9">
      <w:pPr>
        <w:rPr>
          <w:b/>
        </w:rPr>
      </w:pPr>
      <w:r>
        <w:rPr>
          <w:b/>
        </w:rPr>
        <w:t>Proposal 10: Information about other non-operational IAB nodes is not included in the BH link failure indication.</w:t>
      </w:r>
    </w:p>
    <w:p w14:paraId="43A12B72" w14:textId="0212A9B6" w:rsidR="00CD4C7B" w:rsidRPr="00FD779B" w:rsidRDefault="00D03F1D" w:rsidP="00CD4C7B">
      <w:pPr>
        <w:pStyle w:val="Heading1"/>
      </w:pPr>
      <w:r w:rsidRPr="00FD779B">
        <w:t>5</w:t>
      </w:r>
      <w:r w:rsidR="00CD4C7B" w:rsidRPr="00FD779B">
        <w:tab/>
      </w:r>
      <w:r w:rsidR="00626B3E" w:rsidRPr="00FD779B">
        <w:t>Summary</w:t>
      </w:r>
    </w:p>
    <w:p w14:paraId="48475019" w14:textId="6AA3494F" w:rsidR="00E437A4" w:rsidRPr="00E437A4" w:rsidRDefault="00E437A4" w:rsidP="00E437A4">
      <w:r>
        <w:t xml:space="preserve">This contribution discussed details of backhaul link failure recovery in both dual-connectivity and single-connectivity cases. </w:t>
      </w:r>
      <w:r w:rsidRPr="00E437A4">
        <w:t xml:space="preserve">The </w:t>
      </w:r>
      <w:r>
        <w:t>following observations and proposals are made</w:t>
      </w:r>
      <w:bookmarkStart w:id="5" w:name="_GoBack"/>
      <w:bookmarkEnd w:id="5"/>
      <w:r>
        <w:t>:</w:t>
      </w:r>
    </w:p>
    <w:p w14:paraId="70070FC1" w14:textId="619FBDF5" w:rsidR="00E437A4" w:rsidRDefault="00E437A4" w:rsidP="00E437A4">
      <w:pPr>
        <w:rPr>
          <w:b/>
        </w:rPr>
      </w:pPr>
      <w:r>
        <w:rPr>
          <w:b/>
        </w:rPr>
        <w:t>Observation 1: No modifications to SCG RLF handling are required for support of IAB scenarios.</w:t>
      </w:r>
    </w:p>
    <w:p w14:paraId="59F44444" w14:textId="77777777" w:rsidR="00E437A4" w:rsidRDefault="00E437A4" w:rsidP="00E437A4">
      <w:pPr>
        <w:rPr>
          <w:b/>
        </w:rPr>
      </w:pPr>
      <w:r>
        <w:rPr>
          <w:b/>
        </w:rPr>
        <w:t>Observation 2: RRC Reestablishment is a lengthy procedure and relying on it for BH link failure recovery would lead to significant BH link interruption time.</w:t>
      </w:r>
    </w:p>
    <w:p w14:paraId="0AEBC6F0" w14:textId="77777777" w:rsidR="00E437A4" w:rsidRDefault="00E437A4" w:rsidP="00E437A4">
      <w:pPr>
        <w:rPr>
          <w:b/>
        </w:rPr>
      </w:pPr>
      <w:r>
        <w:rPr>
          <w:b/>
        </w:rPr>
        <w:t>Observation 3: In case of NR-DC being established by MT in IAB node, RRC Re-establishment procedure would likely lead to former SCG becoming MT’s MCG.</w:t>
      </w:r>
    </w:p>
    <w:p w14:paraId="123B9DB0" w14:textId="77777777" w:rsidR="00E437A4" w:rsidRDefault="00E437A4" w:rsidP="00E437A4">
      <w:pPr>
        <w:rPr>
          <w:b/>
        </w:rPr>
      </w:pPr>
      <w:r>
        <w:rPr>
          <w:b/>
        </w:rPr>
        <w:t>Observation 4: From RAN2 perspective, RLF scenarios with and without Donor CU change are handled in a very similar way on Uu interface.</w:t>
      </w:r>
    </w:p>
    <w:p w14:paraId="710A6B32" w14:textId="77777777" w:rsidR="00E437A4" w:rsidRDefault="00E437A4" w:rsidP="00E437A4">
      <w:pPr>
        <w:rPr>
          <w:b/>
        </w:rPr>
      </w:pPr>
      <w:r>
        <w:rPr>
          <w:b/>
        </w:rPr>
        <w:t>Observation 5: Similarly, as in NR-DC case, relying on RRC Reestablishment procedure for BH link failure recovery for single-connected IAB node’s MT would lead to significant BH link interruption time.</w:t>
      </w:r>
    </w:p>
    <w:p w14:paraId="37BF5BCB" w14:textId="433153B0" w:rsidR="00E437A4" w:rsidRPr="00F22764" w:rsidRDefault="00E437A4" w:rsidP="00E437A4">
      <w:pPr>
        <w:rPr>
          <w:b/>
        </w:rPr>
      </w:pPr>
      <w:r>
        <w:rPr>
          <w:b/>
        </w:rPr>
        <w:t xml:space="preserve">Observation </w:t>
      </w:r>
      <w:r>
        <w:rPr>
          <w:b/>
        </w:rPr>
        <w:t>6</w:t>
      </w:r>
      <w:r>
        <w:rPr>
          <w:b/>
        </w:rPr>
        <w:t>: MT of the IAB node whose parent experienced RLF with its upstream node, will not trigger RLF as long as it experiences good radio conditions on its own backhaul link.</w:t>
      </w:r>
    </w:p>
    <w:p w14:paraId="4B434DA8" w14:textId="77777777" w:rsidR="00E437A4" w:rsidRDefault="00E437A4" w:rsidP="00E437A4">
      <w:pPr>
        <w:rPr>
          <w:b/>
        </w:rPr>
      </w:pPr>
    </w:p>
    <w:p w14:paraId="19B17659" w14:textId="4B605FAD" w:rsidR="00E437A4" w:rsidRDefault="00E437A4" w:rsidP="00E437A4">
      <w:pPr>
        <w:rPr>
          <w:b/>
        </w:rPr>
      </w:pPr>
      <w:r>
        <w:rPr>
          <w:b/>
        </w:rPr>
        <w:t>Proposal 1: In IAB scenarios, once SCG is configured for a MT in IAB node, PSCell is always active, i.e. in the same way as currently specified for NR-DC (no specifications changes are needed for this purpose).</w:t>
      </w:r>
    </w:p>
    <w:p w14:paraId="702E6E91" w14:textId="77777777" w:rsidR="00E437A4" w:rsidRDefault="00E437A4" w:rsidP="00E437A4">
      <w:pPr>
        <w:rPr>
          <w:b/>
        </w:rPr>
      </w:pPr>
      <w:r>
        <w:rPr>
          <w:b/>
        </w:rPr>
        <w:t>Proposal 2: NR-DC should support MCG failure (MCG-RLF) information reporting to MN via SN (e.g. using split SRB1 or SRB3), at least for IAB scenarios.</w:t>
      </w:r>
    </w:p>
    <w:p w14:paraId="4054AC4F" w14:textId="77777777" w:rsidR="00E437A4" w:rsidRDefault="00E437A4" w:rsidP="00E437A4">
      <w:pPr>
        <w:rPr>
          <w:b/>
        </w:rPr>
      </w:pPr>
      <w:r w:rsidRPr="00942AAF">
        <w:rPr>
          <w:b/>
        </w:rPr>
        <w:t>Proposal 3:</w:t>
      </w:r>
      <w:r>
        <w:rPr>
          <w:b/>
        </w:rPr>
        <w:t xml:space="preserve"> NR-DC should support sending Handover Command from MN via SN (e.g. using split SRB1 or SRB3), at least for IAB scenarios.</w:t>
      </w:r>
    </w:p>
    <w:p w14:paraId="0B632174" w14:textId="77777777" w:rsidR="00E437A4" w:rsidRDefault="00E437A4" w:rsidP="00E437A4">
      <w:pPr>
        <w:rPr>
          <w:b/>
        </w:rPr>
      </w:pPr>
      <w:r>
        <w:rPr>
          <w:b/>
        </w:rPr>
        <w:t>Proposal 4: MT of an IAB node operating in NR-DC mode should not trigger RRC Reestablishment procedure in case SCG path is operational.</w:t>
      </w:r>
    </w:p>
    <w:p w14:paraId="75070EF1" w14:textId="77777777" w:rsidR="00E437A4" w:rsidRDefault="00E437A4" w:rsidP="00E437A4">
      <w:pPr>
        <w:rPr>
          <w:b/>
        </w:rPr>
      </w:pPr>
      <w:r>
        <w:rPr>
          <w:b/>
        </w:rPr>
        <w:t>Proposal 5: IAB design should not disallow an MT in a IAB node from operating in NR-DC mode involving two different CUs.</w:t>
      </w:r>
    </w:p>
    <w:p w14:paraId="4F888C5C" w14:textId="77777777" w:rsidR="00E437A4" w:rsidRDefault="00E437A4" w:rsidP="00E437A4">
      <w:pPr>
        <w:rPr>
          <w:b/>
        </w:rPr>
      </w:pPr>
      <w:r>
        <w:rPr>
          <w:b/>
        </w:rPr>
        <w:t>Proposal 6: Donor CU should be able to prepare secondary route for the IAB node to allow for faster RLF recovery even in case the IAB node is not dual-connected. The pre-preparation may include configuring adaptation layer and routing tables on the IAB nodes on the secondary route in advance.</w:t>
      </w:r>
    </w:p>
    <w:p w14:paraId="1FD54481" w14:textId="77777777" w:rsidR="00E437A4" w:rsidRPr="00B9618A" w:rsidRDefault="00E437A4" w:rsidP="00E437A4">
      <w:pPr>
        <w:rPr>
          <w:b/>
        </w:rPr>
      </w:pPr>
      <w:r>
        <w:rPr>
          <w:b/>
        </w:rPr>
        <w:t>Proposal 7: IAB scenarios should be able to take advantage of enhanced mobility features such as conditional HO or RACH-less HO, if specified. The work on those features in Mobility WI should consider specificities of IAB network deployment such as fixed nature of IAB nodes and the need for very quick RLF recovery.</w:t>
      </w:r>
    </w:p>
    <w:p w14:paraId="53B1BB10" w14:textId="77777777" w:rsidR="00E437A4" w:rsidRDefault="00E437A4" w:rsidP="00E437A4">
      <w:pPr>
        <w:rPr>
          <w:b/>
        </w:rPr>
      </w:pPr>
      <w:r>
        <w:rPr>
          <w:b/>
        </w:rPr>
        <w:t>Proposal 8: The exact conditions under which the IAB node’s DU sends BH link failure indication to its child node are not specified.</w:t>
      </w:r>
    </w:p>
    <w:p w14:paraId="29A9A00B" w14:textId="77777777" w:rsidR="00E437A4" w:rsidRDefault="00E437A4" w:rsidP="00E437A4">
      <w:pPr>
        <w:rPr>
          <w:b/>
        </w:rPr>
      </w:pPr>
      <w:r>
        <w:rPr>
          <w:b/>
        </w:rPr>
        <w:t>Proposal 9: Use SIB1 for BH link failure indication to child nodes.</w:t>
      </w:r>
    </w:p>
    <w:p w14:paraId="6B6D8DDA" w14:textId="77777777" w:rsidR="00E437A4" w:rsidRPr="00043FE7" w:rsidRDefault="00E437A4" w:rsidP="00E437A4">
      <w:pPr>
        <w:rPr>
          <w:b/>
        </w:rPr>
      </w:pPr>
      <w:r>
        <w:rPr>
          <w:b/>
        </w:rPr>
        <w:t>Proposal 10: Information about other non-operational IAB nodes is not included in the BH link failure indication.</w:t>
      </w:r>
    </w:p>
    <w:p w14:paraId="055200B7" w14:textId="77777777" w:rsidR="00CD4C7B" w:rsidRPr="00FD779B" w:rsidRDefault="00CD4C7B" w:rsidP="00CD4C7B"/>
    <w:p w14:paraId="40674247" w14:textId="60851CD7" w:rsidR="0037770A" w:rsidRPr="0037770A" w:rsidRDefault="0037770A" w:rsidP="0037770A">
      <w:pPr>
        <w:pStyle w:val="Heading1"/>
      </w:pPr>
      <w:r w:rsidRPr="0037770A">
        <w:t>References</w:t>
      </w:r>
    </w:p>
    <w:p w14:paraId="54667801" w14:textId="1CAEB979" w:rsidR="0037770A" w:rsidRDefault="0037770A" w:rsidP="0037770A">
      <w:r w:rsidRPr="0037770A">
        <w:t>[1]</w:t>
      </w:r>
      <w:r w:rsidRPr="0037770A">
        <w:tab/>
      </w:r>
      <w:r w:rsidRPr="0037770A">
        <w:tab/>
        <w:t xml:space="preserve">RP-182882, </w:t>
      </w:r>
      <w:r w:rsidRPr="0037770A">
        <w:rPr>
          <w:i/>
        </w:rPr>
        <w:t>New WID: Integrated Access and Backhaul for NR</w:t>
      </w:r>
      <w:r>
        <w:t>, Qualcomm</w:t>
      </w:r>
    </w:p>
    <w:p w14:paraId="760E14EB" w14:textId="6BC78179" w:rsidR="0037770A" w:rsidRDefault="0037770A" w:rsidP="0037770A">
      <w:pPr>
        <w:rPr>
          <w:i/>
        </w:rPr>
      </w:pPr>
      <w:r>
        <w:t>[2</w:t>
      </w:r>
      <w:r>
        <w:t>]</w:t>
      </w:r>
      <w:r>
        <w:tab/>
      </w:r>
      <w:r>
        <w:tab/>
        <w:t xml:space="preserve">3GPP TR 38.874, </w:t>
      </w:r>
      <w:r w:rsidRPr="0037770A">
        <w:rPr>
          <w:i/>
        </w:rPr>
        <w:t>Study on Integrated Access and Backhaul</w:t>
      </w:r>
    </w:p>
    <w:p w14:paraId="5FBEDD71" w14:textId="255AC705" w:rsidR="000B27B5" w:rsidRDefault="000B27B5" w:rsidP="0037770A">
      <w:r>
        <w:t>[3]</w:t>
      </w:r>
      <w:r>
        <w:tab/>
      </w:r>
      <w:r>
        <w:tab/>
      </w:r>
      <w:r w:rsidR="009F32AE" w:rsidRPr="009F32AE">
        <w:t>R2-1900626</w:t>
      </w:r>
      <w:r w:rsidR="009F32AE">
        <w:t xml:space="preserve">, </w:t>
      </w:r>
      <w:r w:rsidR="009F32AE">
        <w:rPr>
          <w:i/>
        </w:rPr>
        <w:t xml:space="preserve">Adaptation layer contents and configuration, </w:t>
      </w:r>
      <w:r w:rsidR="009F32AE">
        <w:t>Nokia, Nokia Shanghai Bell</w:t>
      </w:r>
    </w:p>
    <w:p w14:paraId="42420DB2" w14:textId="22F57882" w:rsidR="002C6E33" w:rsidRPr="000B27B5" w:rsidRDefault="002C6E33" w:rsidP="0037770A">
      <w:r>
        <w:t>[4]</w:t>
      </w:r>
      <w:r>
        <w:tab/>
      </w:r>
      <w:r>
        <w:tab/>
        <w:t>3GPP TS 37.340</w:t>
      </w:r>
    </w:p>
    <w:p w14:paraId="35F222F4" w14:textId="77777777" w:rsidR="00080512" w:rsidRPr="0037770A" w:rsidRDefault="00080512" w:rsidP="00CD4C7B"/>
    <w:sectPr w:rsidR="00080512" w:rsidRPr="0037770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40833" w14:textId="77777777" w:rsidR="00DC2DA0" w:rsidRDefault="00DC2DA0">
      <w:r>
        <w:separator/>
      </w:r>
    </w:p>
  </w:endnote>
  <w:endnote w:type="continuationSeparator" w:id="0">
    <w:p w14:paraId="235087EE" w14:textId="77777777" w:rsidR="00DC2DA0" w:rsidRDefault="00DC2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DC2DA0" w:rsidRDefault="00DC2D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DC2DA0" w:rsidRDefault="00DC2D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DC2DA0" w:rsidRDefault="00DC2D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73EAD" w14:textId="77777777" w:rsidR="00DC2DA0" w:rsidRDefault="00DC2DA0">
      <w:r>
        <w:separator/>
      </w:r>
    </w:p>
  </w:footnote>
  <w:footnote w:type="continuationSeparator" w:id="0">
    <w:p w14:paraId="1DF51829" w14:textId="77777777" w:rsidR="00DC2DA0" w:rsidRDefault="00DC2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DC2DA0" w:rsidRDefault="00DC2D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DC2DA0" w:rsidRDefault="00DC2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DC2DA0" w:rsidRDefault="00DC2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40668F"/>
    <w:multiLevelType w:val="hybridMultilevel"/>
    <w:tmpl w:val="8910B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8A5526"/>
    <w:multiLevelType w:val="hybridMultilevel"/>
    <w:tmpl w:val="3134E508"/>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AEC037A"/>
    <w:multiLevelType w:val="hybridMultilevel"/>
    <w:tmpl w:val="8ACC3A5A"/>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56631F"/>
    <w:multiLevelType w:val="hybridMultilevel"/>
    <w:tmpl w:val="42B47242"/>
    <w:lvl w:ilvl="0" w:tplc="08090001">
      <w:start w:val="2"/>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 w:numId="8">
    <w:abstractNumId w:val="7"/>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93C"/>
    <w:rsid w:val="00033397"/>
    <w:rsid w:val="00040095"/>
    <w:rsid w:val="00043FE7"/>
    <w:rsid w:val="000571B9"/>
    <w:rsid w:val="00064EDA"/>
    <w:rsid w:val="00080512"/>
    <w:rsid w:val="00086A82"/>
    <w:rsid w:val="00090468"/>
    <w:rsid w:val="000B0A78"/>
    <w:rsid w:val="000B27B5"/>
    <w:rsid w:val="000B7BCF"/>
    <w:rsid w:val="000C5061"/>
    <w:rsid w:val="000C522B"/>
    <w:rsid w:val="000D0CA8"/>
    <w:rsid w:val="000D58AB"/>
    <w:rsid w:val="001021E3"/>
    <w:rsid w:val="00112F1A"/>
    <w:rsid w:val="0013349F"/>
    <w:rsid w:val="00144650"/>
    <w:rsid w:val="00145075"/>
    <w:rsid w:val="0014784D"/>
    <w:rsid w:val="00150EF0"/>
    <w:rsid w:val="00172101"/>
    <w:rsid w:val="001726AE"/>
    <w:rsid w:val="00172EE6"/>
    <w:rsid w:val="001741A0"/>
    <w:rsid w:val="00175FA0"/>
    <w:rsid w:val="00177997"/>
    <w:rsid w:val="00194CD0"/>
    <w:rsid w:val="001B49C9"/>
    <w:rsid w:val="001C4659"/>
    <w:rsid w:val="001C4F79"/>
    <w:rsid w:val="001D0089"/>
    <w:rsid w:val="001E6AE1"/>
    <w:rsid w:val="001F168B"/>
    <w:rsid w:val="001F7831"/>
    <w:rsid w:val="00204045"/>
    <w:rsid w:val="0020712B"/>
    <w:rsid w:val="0022606D"/>
    <w:rsid w:val="00226E5A"/>
    <w:rsid w:val="00231728"/>
    <w:rsid w:val="0025666C"/>
    <w:rsid w:val="002610D8"/>
    <w:rsid w:val="002747EC"/>
    <w:rsid w:val="002763ED"/>
    <w:rsid w:val="002855BF"/>
    <w:rsid w:val="0028605B"/>
    <w:rsid w:val="002B1A08"/>
    <w:rsid w:val="002C02B7"/>
    <w:rsid w:val="002C6695"/>
    <w:rsid w:val="002C6E33"/>
    <w:rsid w:val="002F0D22"/>
    <w:rsid w:val="00302919"/>
    <w:rsid w:val="003172DC"/>
    <w:rsid w:val="00325AE3"/>
    <w:rsid w:val="00326069"/>
    <w:rsid w:val="0035462D"/>
    <w:rsid w:val="00362FFB"/>
    <w:rsid w:val="00364B41"/>
    <w:rsid w:val="0037770A"/>
    <w:rsid w:val="003A41EF"/>
    <w:rsid w:val="003B2C92"/>
    <w:rsid w:val="003B40AD"/>
    <w:rsid w:val="003C4E37"/>
    <w:rsid w:val="003E16BE"/>
    <w:rsid w:val="003F4E28"/>
    <w:rsid w:val="004006E8"/>
    <w:rsid w:val="00401855"/>
    <w:rsid w:val="00465587"/>
    <w:rsid w:val="00477455"/>
    <w:rsid w:val="004A1F7B"/>
    <w:rsid w:val="004C44D2"/>
    <w:rsid w:val="004D3578"/>
    <w:rsid w:val="004D380D"/>
    <w:rsid w:val="004E213A"/>
    <w:rsid w:val="004F03C8"/>
    <w:rsid w:val="004F3B29"/>
    <w:rsid w:val="00503171"/>
    <w:rsid w:val="00506C28"/>
    <w:rsid w:val="0051548A"/>
    <w:rsid w:val="00531E15"/>
    <w:rsid w:val="00534DA0"/>
    <w:rsid w:val="00543E6C"/>
    <w:rsid w:val="00553362"/>
    <w:rsid w:val="005540D7"/>
    <w:rsid w:val="00565087"/>
    <w:rsid w:val="0056573F"/>
    <w:rsid w:val="005B719F"/>
    <w:rsid w:val="005D509B"/>
    <w:rsid w:val="00611566"/>
    <w:rsid w:val="00615E69"/>
    <w:rsid w:val="00626B3E"/>
    <w:rsid w:val="00646D99"/>
    <w:rsid w:val="00656910"/>
    <w:rsid w:val="006C66D8"/>
    <w:rsid w:val="006D1E24"/>
    <w:rsid w:val="006E1417"/>
    <w:rsid w:val="006F6A2C"/>
    <w:rsid w:val="006F6F9B"/>
    <w:rsid w:val="00704972"/>
    <w:rsid w:val="00710201"/>
    <w:rsid w:val="0071263C"/>
    <w:rsid w:val="0071345B"/>
    <w:rsid w:val="00717622"/>
    <w:rsid w:val="007342B5"/>
    <w:rsid w:val="00734A5B"/>
    <w:rsid w:val="00744E76"/>
    <w:rsid w:val="00757D40"/>
    <w:rsid w:val="00762A3C"/>
    <w:rsid w:val="00781F0F"/>
    <w:rsid w:val="007840B0"/>
    <w:rsid w:val="0078727C"/>
    <w:rsid w:val="0079049D"/>
    <w:rsid w:val="00793DC5"/>
    <w:rsid w:val="007B18D8"/>
    <w:rsid w:val="007C00F6"/>
    <w:rsid w:val="007C095F"/>
    <w:rsid w:val="007C2DD0"/>
    <w:rsid w:val="007C4663"/>
    <w:rsid w:val="007C7F11"/>
    <w:rsid w:val="008028A4"/>
    <w:rsid w:val="00803054"/>
    <w:rsid w:val="00813245"/>
    <w:rsid w:val="00824718"/>
    <w:rsid w:val="0082785C"/>
    <w:rsid w:val="00870A93"/>
    <w:rsid w:val="008768CA"/>
    <w:rsid w:val="00877EF9"/>
    <w:rsid w:val="00880559"/>
    <w:rsid w:val="00882438"/>
    <w:rsid w:val="008B2CFC"/>
    <w:rsid w:val="008B5306"/>
    <w:rsid w:val="008C3A7D"/>
    <w:rsid w:val="008D2E4D"/>
    <w:rsid w:val="008E7D78"/>
    <w:rsid w:val="008F396F"/>
    <w:rsid w:val="0090271F"/>
    <w:rsid w:val="00902DB9"/>
    <w:rsid w:val="0090466A"/>
    <w:rsid w:val="00925773"/>
    <w:rsid w:val="00926E73"/>
    <w:rsid w:val="009304A2"/>
    <w:rsid w:val="00931E3F"/>
    <w:rsid w:val="009329C2"/>
    <w:rsid w:val="00936071"/>
    <w:rsid w:val="00940212"/>
    <w:rsid w:val="0094264F"/>
    <w:rsid w:val="00942AAF"/>
    <w:rsid w:val="00942EC2"/>
    <w:rsid w:val="00955223"/>
    <w:rsid w:val="00961B32"/>
    <w:rsid w:val="00962509"/>
    <w:rsid w:val="00970DB3"/>
    <w:rsid w:val="00974BB0"/>
    <w:rsid w:val="009A0AF3"/>
    <w:rsid w:val="009B07CD"/>
    <w:rsid w:val="009C19E9"/>
    <w:rsid w:val="009D064C"/>
    <w:rsid w:val="009D74A6"/>
    <w:rsid w:val="009E7698"/>
    <w:rsid w:val="009F32AE"/>
    <w:rsid w:val="009F5877"/>
    <w:rsid w:val="00A02ED8"/>
    <w:rsid w:val="00A10F02"/>
    <w:rsid w:val="00A204CA"/>
    <w:rsid w:val="00A44F8C"/>
    <w:rsid w:val="00A53724"/>
    <w:rsid w:val="00A6222B"/>
    <w:rsid w:val="00A7338B"/>
    <w:rsid w:val="00A76FB3"/>
    <w:rsid w:val="00A82346"/>
    <w:rsid w:val="00A85794"/>
    <w:rsid w:val="00A9671C"/>
    <w:rsid w:val="00A97915"/>
    <w:rsid w:val="00AA1553"/>
    <w:rsid w:val="00B05380"/>
    <w:rsid w:val="00B05962"/>
    <w:rsid w:val="00B059BC"/>
    <w:rsid w:val="00B07B47"/>
    <w:rsid w:val="00B15449"/>
    <w:rsid w:val="00B2098B"/>
    <w:rsid w:val="00B20FD5"/>
    <w:rsid w:val="00B27303"/>
    <w:rsid w:val="00B276C4"/>
    <w:rsid w:val="00B305D5"/>
    <w:rsid w:val="00B4557B"/>
    <w:rsid w:val="00B47FD1"/>
    <w:rsid w:val="00B516BB"/>
    <w:rsid w:val="00B5514B"/>
    <w:rsid w:val="00B74F7C"/>
    <w:rsid w:val="00B81811"/>
    <w:rsid w:val="00B84DB2"/>
    <w:rsid w:val="00B9618A"/>
    <w:rsid w:val="00BC3555"/>
    <w:rsid w:val="00BE522F"/>
    <w:rsid w:val="00BF7FD5"/>
    <w:rsid w:val="00C12B51"/>
    <w:rsid w:val="00C2037D"/>
    <w:rsid w:val="00C24650"/>
    <w:rsid w:val="00C25465"/>
    <w:rsid w:val="00C33079"/>
    <w:rsid w:val="00C55569"/>
    <w:rsid w:val="00C8020A"/>
    <w:rsid w:val="00C80C46"/>
    <w:rsid w:val="00C83A13"/>
    <w:rsid w:val="00C9068C"/>
    <w:rsid w:val="00C92967"/>
    <w:rsid w:val="00C930AD"/>
    <w:rsid w:val="00CA3D0C"/>
    <w:rsid w:val="00CA654B"/>
    <w:rsid w:val="00CA6D56"/>
    <w:rsid w:val="00CB72B8"/>
    <w:rsid w:val="00CD3281"/>
    <w:rsid w:val="00CD4C7B"/>
    <w:rsid w:val="00CE6EFD"/>
    <w:rsid w:val="00CF447D"/>
    <w:rsid w:val="00D00D95"/>
    <w:rsid w:val="00D03F1D"/>
    <w:rsid w:val="00D16E5E"/>
    <w:rsid w:val="00D33BE3"/>
    <w:rsid w:val="00D3792D"/>
    <w:rsid w:val="00D55E47"/>
    <w:rsid w:val="00D61E59"/>
    <w:rsid w:val="00D62E19"/>
    <w:rsid w:val="00D6554F"/>
    <w:rsid w:val="00D67CD1"/>
    <w:rsid w:val="00D738D6"/>
    <w:rsid w:val="00D80795"/>
    <w:rsid w:val="00D854BE"/>
    <w:rsid w:val="00D87E00"/>
    <w:rsid w:val="00D9134D"/>
    <w:rsid w:val="00D96D11"/>
    <w:rsid w:val="00DA1A8E"/>
    <w:rsid w:val="00DA7A03"/>
    <w:rsid w:val="00DB0DB8"/>
    <w:rsid w:val="00DB1818"/>
    <w:rsid w:val="00DB276A"/>
    <w:rsid w:val="00DC2DA0"/>
    <w:rsid w:val="00DC309B"/>
    <w:rsid w:val="00DC4DA2"/>
    <w:rsid w:val="00E01485"/>
    <w:rsid w:val="00E024C3"/>
    <w:rsid w:val="00E25789"/>
    <w:rsid w:val="00E31A84"/>
    <w:rsid w:val="00E437A4"/>
    <w:rsid w:val="00E4531A"/>
    <w:rsid w:val="00E46C08"/>
    <w:rsid w:val="00E471CF"/>
    <w:rsid w:val="00E51345"/>
    <w:rsid w:val="00E62835"/>
    <w:rsid w:val="00E71249"/>
    <w:rsid w:val="00E75926"/>
    <w:rsid w:val="00E765F5"/>
    <w:rsid w:val="00E77645"/>
    <w:rsid w:val="00E83697"/>
    <w:rsid w:val="00EB1708"/>
    <w:rsid w:val="00EC33A1"/>
    <w:rsid w:val="00EC4A25"/>
    <w:rsid w:val="00ED34B1"/>
    <w:rsid w:val="00ED726A"/>
    <w:rsid w:val="00F025A2"/>
    <w:rsid w:val="00F07388"/>
    <w:rsid w:val="00F106E4"/>
    <w:rsid w:val="00F2026E"/>
    <w:rsid w:val="00F2210A"/>
    <w:rsid w:val="00F22764"/>
    <w:rsid w:val="00F37743"/>
    <w:rsid w:val="00F45CA9"/>
    <w:rsid w:val="00F54A3D"/>
    <w:rsid w:val="00F54CB0"/>
    <w:rsid w:val="00F61F78"/>
    <w:rsid w:val="00F653B8"/>
    <w:rsid w:val="00F707ED"/>
    <w:rsid w:val="00F71B89"/>
    <w:rsid w:val="00F7353C"/>
    <w:rsid w:val="00F73AF5"/>
    <w:rsid w:val="00F76F8F"/>
    <w:rsid w:val="00F87923"/>
    <w:rsid w:val="00F941DF"/>
    <w:rsid w:val="00FA1266"/>
    <w:rsid w:val="00FB30FB"/>
    <w:rsid w:val="00FB36FA"/>
    <w:rsid w:val="00FC1192"/>
    <w:rsid w:val="00FD3180"/>
    <w:rsid w:val="00FD779B"/>
    <w:rsid w:val="00FE251B"/>
    <w:rsid w:val="00FE2B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9853EAB5-29F3-449C-B0AC-7EA7D29BF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C203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D0089"/>
    <w:rPr>
      <w:rFonts w:ascii="Arial" w:hAnsi="Arial"/>
      <w:b/>
      <w:lang w:eastAsia="en-US"/>
    </w:rPr>
  </w:style>
  <w:style w:type="character" w:styleId="CommentReference">
    <w:name w:val="annotation reference"/>
    <w:basedOn w:val="DefaultParagraphFont"/>
    <w:rsid w:val="00E75926"/>
    <w:rPr>
      <w:sz w:val="16"/>
      <w:szCs w:val="16"/>
    </w:rPr>
  </w:style>
  <w:style w:type="paragraph" w:styleId="CommentText">
    <w:name w:val="annotation text"/>
    <w:basedOn w:val="Normal"/>
    <w:link w:val="CommentTextChar"/>
    <w:rsid w:val="00E75926"/>
  </w:style>
  <w:style w:type="character" w:customStyle="1" w:styleId="CommentTextChar">
    <w:name w:val="Comment Text Char"/>
    <w:basedOn w:val="DefaultParagraphFont"/>
    <w:link w:val="CommentText"/>
    <w:rsid w:val="00E75926"/>
    <w:rPr>
      <w:lang w:eastAsia="en-US"/>
    </w:rPr>
  </w:style>
  <w:style w:type="paragraph" w:styleId="CommentSubject">
    <w:name w:val="annotation subject"/>
    <w:basedOn w:val="CommentText"/>
    <w:next w:val="CommentText"/>
    <w:link w:val="CommentSubjectChar"/>
    <w:rsid w:val="00E75926"/>
    <w:rPr>
      <w:b/>
      <w:bCs/>
    </w:rPr>
  </w:style>
  <w:style w:type="character" w:customStyle="1" w:styleId="CommentSubjectChar">
    <w:name w:val="Comment Subject Char"/>
    <w:basedOn w:val="CommentTextChar"/>
    <w:link w:val="CommentSubject"/>
    <w:rsid w:val="00E75926"/>
    <w:rPr>
      <w:b/>
      <w:bCs/>
      <w:lang w:eastAsia="en-US"/>
    </w:rPr>
  </w:style>
  <w:style w:type="paragraph" w:styleId="ListParagraph">
    <w:name w:val="List Paragraph"/>
    <w:basedOn w:val="Normal"/>
    <w:uiPriority w:val="34"/>
    <w:qFormat/>
    <w:rsid w:val="000B0A78"/>
    <w:pPr>
      <w:ind w:left="720"/>
      <w:contextualSpacing/>
    </w:pPr>
  </w:style>
  <w:style w:type="paragraph" w:customStyle="1" w:styleId="maintext">
    <w:name w:val="main text"/>
    <w:basedOn w:val="Normal"/>
    <w:link w:val="maintextChar"/>
    <w:qFormat/>
    <w:rsid w:val="009329C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9329C2"/>
    <w:rPr>
      <w:rFonts w:eastAsia="Malgun Gothic" w:cs="Batang"/>
      <w:lang w:eastAsia="ko-KR"/>
    </w:rPr>
  </w:style>
  <w:style w:type="character" w:customStyle="1" w:styleId="NOChar">
    <w:name w:val="NO Char"/>
    <w:link w:val="NO"/>
    <w:rsid w:val="0051548A"/>
    <w:rPr>
      <w:lang w:eastAsia="en-US"/>
    </w:rPr>
  </w:style>
  <w:style w:type="character" w:customStyle="1" w:styleId="B1Zchn">
    <w:name w:val="B1 Zchn"/>
    <w:link w:val="B1"/>
    <w:locked/>
    <w:rsid w:val="0051548A"/>
    <w:rPr>
      <w:lang w:eastAsia="en-US"/>
    </w:rPr>
  </w:style>
  <w:style w:type="character" w:customStyle="1" w:styleId="B1Char">
    <w:name w:val="B1 Char"/>
    <w:rsid w:val="001C4659"/>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5AIRPNAIUNRU-859666464-4754</_dlc_DocId>
    <_dlc_DocIdUrl xmlns="71c5aaf6-e6ce-465b-b873-5148d2a4c105">
      <Url>https://nokia.sharepoint.com/sites/c5g/e2earch/_layouts/15/DocIdRedir.aspx?ID=5AIRPNAIUNRU-859666464-4754</Url>
      <Description>5AIRPNAIUNRU-859666464-4754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openxmlformats.org/package/2006/metadata/core-properties"/>
    <ds:schemaRef ds:uri="http://purl.org/dc/elements/1.1/"/>
    <ds:schemaRef ds:uri="http://purl.org/dc/dcmitype/"/>
    <ds:schemaRef ds:uri="3b34c8f0-1ef5-4d1e-bb66-517ce7fe7356"/>
    <ds:schemaRef ds:uri="http://schemas.microsoft.com/office/infopath/2007/PartnerControls"/>
    <ds:schemaRef ds:uri="83f22d2f-d16e-4be6-ad4f-29fa0b067c3c"/>
    <ds:schemaRef ds:uri="a3840f4f-04be-43d1-b2ef-6ff1382503c7"/>
    <ds:schemaRef ds:uri="http://schemas.microsoft.com/office/2006/documentManagement/types"/>
    <ds:schemaRef ds:uri="http://schemas.microsoft.com/office/2006/metadata/properties"/>
    <ds:schemaRef ds:uri="71c5aaf6-e6ce-465b-b873-5148d2a4c105"/>
    <ds:schemaRef ds:uri="http://www.w3.org/XML/1998/namespace"/>
    <ds:schemaRef ds:uri="http://purl.org/dc/te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1009</TotalTime>
  <Pages>8</Pages>
  <Words>3826</Words>
  <Characters>19061</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22842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Nokia</cp:lastModifiedBy>
  <cp:revision>52</cp:revision>
  <dcterms:created xsi:type="dcterms:W3CDTF">2016-08-12T03:53:00Z</dcterms:created>
  <dcterms:modified xsi:type="dcterms:W3CDTF">2019-02-14T21:42:00Z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601e1beb-3588-47bb-8e9f-4f43ef42d195</vt:lpwstr>
  </property>
</Properties>
</file>